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wmf" ContentType="image/x-wmf"/>
  <Default Extension="png" ContentType="image/png"/>
  <Default Extension="tiff" ContentType="image/tiff"/>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EE18C">
      <w:pPr>
        <w:pStyle w:val="23"/>
        <w:jc w:val="center"/>
        <w:rPr>
          <w:rFonts w:ascii="Times New Roman" w:hAnsi="Times New Roman" w:eastAsiaTheme="minorEastAsia"/>
          <w:bCs/>
          <w:color w:val="auto"/>
          <w:sz w:val="30"/>
          <w:szCs w:val="30"/>
          <w:lang w:eastAsia="zh-CN"/>
        </w:rPr>
      </w:pPr>
      <w:bookmarkStart w:id="0" w:name="_GoBack"/>
      <w:bookmarkEnd w:id="0"/>
      <w:r>
        <w:rPr>
          <w:rFonts w:ascii="Times New Roman" w:hAnsi="Times New Roman" w:eastAsiaTheme="minorEastAsia"/>
          <w:bCs/>
          <w:color w:val="auto"/>
          <w:sz w:val="30"/>
          <w:szCs w:val="30"/>
          <w:lang w:eastAsia="zh-CN"/>
        </w:rPr>
        <w:t xml:space="preserve">Identifying key thresholds for </w:t>
      </w:r>
      <w:r>
        <w:rPr>
          <w:rFonts w:hint="eastAsia" w:ascii="Times New Roman" w:hAnsi="Times New Roman" w:eastAsiaTheme="minorEastAsia"/>
          <w:bCs/>
          <w:color w:val="auto"/>
          <w:sz w:val="30"/>
          <w:szCs w:val="30"/>
          <w:lang w:eastAsia="zh-CN"/>
        </w:rPr>
        <w:t>flood-season operating water level</w:t>
      </w:r>
      <w:r>
        <w:rPr>
          <w:rFonts w:ascii="Times New Roman" w:hAnsi="Times New Roman" w:eastAsiaTheme="minorEastAsia"/>
          <w:bCs/>
          <w:color w:val="auto"/>
          <w:sz w:val="30"/>
          <w:szCs w:val="30"/>
          <w:lang w:eastAsia="zh-CN"/>
        </w:rPr>
        <w:t xml:space="preserve"> in a </w:t>
      </w:r>
      <w:r>
        <w:rPr>
          <w:rFonts w:hint="eastAsia" w:ascii="Times New Roman" w:hAnsi="Times New Roman" w:eastAsiaTheme="minorEastAsia"/>
          <w:bCs/>
          <w:color w:val="auto"/>
          <w:sz w:val="30"/>
          <w:szCs w:val="30"/>
          <w:lang w:eastAsia="zh-CN"/>
        </w:rPr>
        <w:t>riverine reservoir</w:t>
      </w:r>
      <w:r>
        <w:rPr>
          <w:rFonts w:ascii="Times New Roman" w:hAnsi="Times New Roman" w:eastAsiaTheme="minorEastAsia"/>
          <w:bCs/>
          <w:color w:val="auto"/>
          <w:sz w:val="30"/>
          <w:szCs w:val="30"/>
          <w:lang w:eastAsia="zh-CN"/>
        </w:rPr>
        <w:t xml:space="preserve"> based on its intrinsic flood-regulation capacity boundary: a case study of Three Gorges Reservoir</w:t>
      </w:r>
    </w:p>
    <w:p w14:paraId="12AFA4F5">
      <w:pPr>
        <w:pStyle w:val="24"/>
        <w:jc w:val="center"/>
        <w:rPr>
          <w:rFonts w:ascii="Times New Roman" w:hAnsi="Times New Roman" w:eastAsiaTheme="minorEastAsia"/>
          <w:color w:val="auto"/>
          <w:sz w:val="24"/>
          <w:szCs w:val="24"/>
          <w:lang w:eastAsia="zh-CN"/>
        </w:rPr>
      </w:pPr>
      <w:r>
        <w:rPr>
          <w:rFonts w:ascii="Times New Roman" w:hAnsi="Times New Roman" w:eastAsiaTheme="minorEastAsia"/>
          <w:color w:val="auto"/>
          <w:sz w:val="24"/>
          <w:szCs w:val="24"/>
          <w:lang w:eastAsia="zh-CN"/>
        </w:rPr>
        <w:t>ZHAI Yanwei</w:t>
      </w:r>
      <w:r>
        <w:rPr>
          <w:rFonts w:ascii="Times New Roman" w:hAnsi="Times New Roman"/>
          <w:color w:val="auto"/>
          <w:sz w:val="24"/>
          <w:szCs w:val="24"/>
        </w:rPr>
        <w:t xml:space="preserve">, </w:t>
      </w:r>
      <w:r>
        <w:rPr>
          <w:rFonts w:ascii="Times New Roman" w:hAnsi="Times New Roman" w:eastAsiaTheme="minorEastAsia"/>
          <w:color w:val="auto"/>
          <w:sz w:val="24"/>
          <w:szCs w:val="24"/>
          <w:lang w:eastAsia="zh-CN"/>
        </w:rPr>
        <w:t xml:space="preserve">JIANG Dingguo, ZHANG Chengxiao </w:t>
      </w:r>
      <w:r>
        <w:rPr>
          <w:rFonts w:ascii="Times New Roman" w:hAnsi="Times New Roman"/>
          <w:color w:val="auto"/>
          <w:sz w:val="24"/>
          <w:szCs w:val="24"/>
        </w:rPr>
        <w:t xml:space="preserve">and </w:t>
      </w:r>
      <w:r>
        <w:rPr>
          <w:rFonts w:ascii="Times New Roman" w:hAnsi="Times New Roman" w:eastAsiaTheme="minorEastAsia"/>
          <w:color w:val="auto"/>
          <w:sz w:val="24"/>
          <w:szCs w:val="24"/>
          <w:lang w:eastAsia="zh-CN"/>
        </w:rPr>
        <w:t>REN Shi</w:t>
      </w:r>
    </w:p>
    <w:p w14:paraId="77581076">
      <w:pPr>
        <w:pStyle w:val="26"/>
        <w:ind w:left="0" w:firstLine="0"/>
        <w:jc w:val="center"/>
        <w:rPr>
          <w:rFonts w:ascii="Times New Roman" w:hAnsi="Times New Roman"/>
          <w:color w:val="auto"/>
          <w:sz w:val="21"/>
          <w:szCs w:val="21"/>
        </w:rPr>
      </w:pPr>
      <w:r>
        <w:rPr>
          <w:rFonts w:ascii="Times New Roman" w:hAnsi="Times New Roman" w:eastAsiaTheme="minorEastAsia"/>
          <w:color w:val="auto"/>
          <w:sz w:val="21"/>
          <w:szCs w:val="21"/>
          <w:lang w:eastAsia="zh-CN"/>
        </w:rPr>
        <w:t>(China Three Gorges Corporation, B</w:t>
      </w:r>
      <w:r>
        <w:rPr>
          <w:rFonts w:hint="eastAsia" w:ascii="Times New Roman" w:hAnsi="Times New Roman" w:eastAsiaTheme="minorEastAsia"/>
          <w:color w:val="auto"/>
          <w:sz w:val="21"/>
          <w:szCs w:val="21"/>
          <w:lang w:eastAsia="zh-CN"/>
        </w:rPr>
        <w:t>eijing</w:t>
      </w:r>
      <w:r>
        <w:rPr>
          <w:rFonts w:ascii="Times New Roman" w:hAnsi="Times New Roman" w:eastAsiaTheme="minorEastAsia"/>
          <w:color w:val="auto"/>
          <w:sz w:val="21"/>
          <w:szCs w:val="21"/>
          <w:lang w:eastAsia="zh-CN"/>
        </w:rPr>
        <w:t xml:space="preserve"> </w:t>
      </w:r>
      <w:r>
        <w:rPr>
          <w:rFonts w:hint="eastAsia" w:ascii="Times New Roman" w:hAnsi="Times New Roman" w:eastAsiaTheme="minorEastAsia"/>
          <w:color w:val="auto"/>
          <w:sz w:val="21"/>
          <w:szCs w:val="21"/>
          <w:lang w:eastAsia="zh-CN"/>
        </w:rPr>
        <w:t xml:space="preserve"> </w:t>
      </w:r>
      <w:r>
        <w:rPr>
          <w:rFonts w:ascii="Times New Roman" w:hAnsi="Times New Roman" w:eastAsiaTheme="minorEastAsia"/>
          <w:color w:val="auto"/>
          <w:sz w:val="21"/>
          <w:szCs w:val="21"/>
          <w:lang w:eastAsia="zh-CN"/>
        </w:rPr>
        <w:t>101199, China)</w:t>
      </w:r>
    </w:p>
    <w:p w14:paraId="087C6752">
      <w:pPr>
        <w:rPr>
          <w:color w:val="auto"/>
          <w:lang w:bidi="en-US"/>
        </w:rPr>
      </w:pPr>
    </w:p>
    <w:p w14:paraId="27947036">
      <w:pPr>
        <w:pStyle w:val="26"/>
        <w:ind w:left="246" w:hanging="246" w:hangingChars="123"/>
        <w:rPr>
          <w:rFonts w:ascii="Times New Roman" w:hAnsi="Times New Roman" w:eastAsiaTheme="minorEastAsia"/>
          <w:color w:val="auto"/>
          <w:sz w:val="20"/>
          <w:szCs w:val="20"/>
          <w:lang w:eastAsia="zh-CN"/>
        </w:rPr>
      </w:pPr>
    </w:p>
    <w:p w14:paraId="04A17CAC">
      <w:pPr>
        <w:rPr>
          <w:rFonts w:ascii="Times New Roman" w:hAnsi="Times New Roman"/>
          <w:color w:val="auto"/>
          <w:lang w:bidi="en-US"/>
        </w:rPr>
      </w:pPr>
      <w:r>
        <w:rPr>
          <w:rFonts w:ascii="Times New Roman" w:hAnsi="Times New Roman"/>
          <w:b/>
          <w:color w:val="auto"/>
          <w:sz w:val="21"/>
          <w:szCs w:val="21"/>
        </w:rPr>
        <w:t>Abstract</w:t>
      </w:r>
      <w:r>
        <w:rPr>
          <w:rFonts w:hint="eastAsia" w:ascii="宋体" w:hAnsi="宋体" w:cs="宋体"/>
          <w:b w:val="0"/>
          <w:color w:val="auto"/>
          <w:sz w:val="21"/>
          <w:szCs w:val="21"/>
        </w:rPr>
        <w:t>：</w:t>
      </w:r>
      <w:r>
        <w:rPr>
          <w:rFonts w:ascii="Times New Roman" w:hAnsi="Times New Roman"/>
          <w:b w:val="0"/>
          <w:bCs/>
          <w:color w:val="auto"/>
          <w:lang w:bidi="en-US"/>
        </w:rPr>
        <w:t>[Objective]</w:t>
      </w:r>
      <w:r>
        <w:rPr>
          <w:rFonts w:ascii="Times New Roman" w:hAnsi="Times New Roman"/>
          <w:color w:val="auto"/>
          <w:lang w:bidi="en-US"/>
        </w:rPr>
        <w:t xml:space="preserve"> Against the background of</w:t>
      </w:r>
      <w:r>
        <w:rPr>
          <w:rFonts w:hint="eastAsia" w:ascii="Times New Roman" w:hAnsi="Times New Roman"/>
          <w:color w:val="auto"/>
          <w:lang w:bidi="en-US"/>
        </w:rPr>
        <w:t xml:space="preserve"> increasingly intense extreme rainfall</w:t>
      </w:r>
      <w:r>
        <w:rPr>
          <w:rFonts w:ascii="Times New Roman" w:hAnsi="Times New Roman"/>
          <w:color w:val="auto"/>
          <w:lang w:bidi="en-US"/>
        </w:rPr>
        <w:t xml:space="preserve">, increasingly complex flood encounters, and growing demand for refined </w:t>
      </w:r>
      <w:r>
        <w:rPr>
          <w:rFonts w:hint="eastAsia" w:ascii="Times New Roman" w:hAnsi="Times New Roman"/>
          <w:color w:val="auto"/>
          <w:lang w:bidi="en-US"/>
        </w:rPr>
        <w:t>water resource utilization</w:t>
      </w:r>
      <w:r>
        <w:rPr>
          <w:rFonts w:ascii="Times New Roman" w:hAnsi="Times New Roman"/>
          <w:color w:val="auto"/>
          <w:lang w:bidi="en-US"/>
        </w:rPr>
        <w:t xml:space="preserve">, the potential of the reservoir for flood control and beneficial use is explored, and the key threshold of the flood-season operating water level constrained by the intrinsic flood-regulation capacity of the Three Gorges Project is identified, thereby providing a basis for dynamic water-level control and flood-resource utilization. </w:t>
      </w:r>
      <w:r>
        <w:rPr>
          <w:rFonts w:ascii="Times New Roman" w:hAnsi="Times New Roman"/>
          <w:b w:val="0"/>
          <w:bCs/>
          <w:color w:val="auto"/>
          <w:lang w:bidi="en-US"/>
        </w:rPr>
        <w:t>[Methods]</w:t>
      </w:r>
      <w:r>
        <w:rPr>
          <w:rFonts w:ascii="Times New Roman" w:hAnsi="Times New Roman"/>
          <w:color w:val="auto"/>
          <w:lang w:bidi="en-US"/>
        </w:rPr>
        <w:t xml:space="preserve"> Under a baseline scenario excluding joint operation with upstream cascade reservoirs and forecast-based pre-release, a one-dimensional unsteady-flow hydrodynamic model of the Three Gorges Reservoir area was developed and optimized. Segmented storage-capacity matching and inversion of uncontrolled interval inflow were introduced to improve the simulation accuracy of longitudinal water-level processes in this </w:t>
      </w:r>
      <w:r>
        <w:rPr>
          <w:rFonts w:hint="eastAsia" w:ascii="Times New Roman" w:hAnsi="Times New Roman"/>
          <w:color w:val="auto"/>
          <w:lang w:bidi="en-US"/>
        </w:rPr>
        <w:t>riverine reservoir</w:t>
      </w:r>
      <w:r>
        <w:rPr>
          <w:rFonts w:ascii="Times New Roman" w:hAnsi="Times New Roman"/>
          <w:color w:val="auto"/>
          <w:lang w:bidi="en-US"/>
        </w:rPr>
        <w:t>. Typical flood events in 1954, 1966, 1981, 1982, 1998, 2012, and 2020 were selected, and design floods with exceedance probabilities of 1%, 0.1%, and 0.01% were generated using the equal-frequency amplification method. The maximum regulated water level at the dam front and excess flood volume</w:t>
      </w:r>
      <w:r>
        <w:rPr>
          <w:rFonts w:hint="eastAsia" w:ascii="Times New Roman" w:hAnsi="Times New Roman"/>
          <w:color w:val="auto"/>
          <w:lang w:bidi="en-US"/>
        </w:rPr>
        <w:t xml:space="preserve"> </w:t>
      </w:r>
      <w:r>
        <w:rPr>
          <w:rFonts w:ascii="Times New Roman" w:hAnsi="Times New Roman"/>
          <w:color w:val="auto"/>
          <w:lang w:bidi="en-US"/>
        </w:rPr>
        <w:t xml:space="preserve">were analyzed under different initial operating water levels and staged release conditions. </w:t>
      </w:r>
      <w:r>
        <w:rPr>
          <w:rFonts w:ascii="Times New Roman" w:hAnsi="Times New Roman"/>
          <w:b w:val="0"/>
          <w:bCs/>
          <w:color w:val="auto"/>
          <w:lang w:bidi="en-US"/>
        </w:rPr>
        <w:t>[Results]</w:t>
      </w:r>
      <w:r>
        <w:rPr>
          <w:rFonts w:ascii="Times New Roman" w:hAnsi="Times New Roman"/>
          <w:color w:val="auto"/>
          <w:lang w:bidi="en-US"/>
        </w:rPr>
        <w:t xml:space="preserve"> The optimized model satisfactorily reproduced the longitudinal water-level processes in the reservoir area. The mean absolute errors and root mean square errors at the representative stations ranged from 0.03 to 0.35 m and from 0.03 to 0.49 m, respectively. When the initial operating water level did not exceed 155 m, the maximum regulated water level and cumulative outflow volume varied only slightly with the initial level under most typical flood conditions. Once the initial operating water level exceeded 155 m, the remaining effective flood-control storage decreased further, and both the maximum regulated water level and high-discharge outflow response became more sensitive to further increases in the initial level. For a fixed initial operating water level, increasing the prescribed release limit generally reduced the maximum regulated water level. For the 0.1% and 0.01% design floods, however, a higher release limit could increase the duration or cumulative volume of high-discharge operation. </w:t>
      </w:r>
      <w:r>
        <w:rPr>
          <w:rFonts w:ascii="Times New Roman" w:hAnsi="Times New Roman"/>
          <w:b w:val="0"/>
          <w:bCs/>
          <w:color w:val="auto"/>
          <w:lang w:bidi="en-US"/>
        </w:rPr>
        <w:t>[Conclusion]</w:t>
      </w:r>
      <w:r>
        <w:rPr>
          <w:rFonts w:ascii="Times New Roman" w:hAnsi="Times New Roman"/>
          <w:color w:val="auto"/>
          <w:lang w:bidi="en-US"/>
        </w:rPr>
        <w:t xml:space="preserve"> Under the model structure, design-flood scenarios, operation rules, and boundary conditions adopted in this study, 155 m can be regarded as a conservative reference boundary for changes in the intrinsic flood-regulation capacity of the Three Gorges Project. The flood-regulation response remains relatively stable and a comparatively large regulation margin is retained when the initial operating water level ranges from 145 to 155 m. However, 155 m should not be interpreted as a fixed flood-season operating water level. The findings provide a basis for future studies on dynamic flood-season water-level control and flood-resource utilization incorporating real-time flood forecasts, coordinated cascade operation, and forecast-based pre-release.</w:t>
      </w:r>
    </w:p>
    <w:p w14:paraId="423876AD">
      <w:pPr>
        <w:pStyle w:val="28"/>
        <w:ind w:left="0"/>
        <w:rPr>
          <w:rFonts w:ascii="Times New Roman" w:hAnsi="Times New Roman" w:eastAsia="宋体"/>
          <w:bCs/>
          <w:color w:val="auto"/>
          <w:sz w:val="21"/>
          <w:szCs w:val="21"/>
          <w:lang w:eastAsia="zh-CN"/>
        </w:rPr>
      </w:pPr>
      <w:r>
        <w:rPr>
          <w:rFonts w:ascii="Times New Roman" w:hAnsi="Times New Roman"/>
          <w:b/>
          <w:color w:val="auto"/>
          <w:sz w:val="21"/>
          <w:szCs w:val="21"/>
        </w:rPr>
        <w:t>Keywords:</w:t>
      </w:r>
      <w:r>
        <w:rPr>
          <w:rFonts w:ascii="Times New Roman" w:hAnsi="Times New Roman" w:eastAsiaTheme="minorEastAsia"/>
          <w:b/>
          <w:color w:val="auto"/>
          <w:szCs w:val="18"/>
          <w:lang w:eastAsia="zh-CN"/>
        </w:rPr>
        <w:t xml:space="preserve"> </w:t>
      </w:r>
      <w:r>
        <w:rPr>
          <w:rFonts w:ascii="Times New Roman" w:hAnsi="Times New Roman"/>
          <w:bCs/>
          <w:color w:val="auto"/>
          <w:sz w:val="21"/>
          <w:szCs w:val="21"/>
        </w:rPr>
        <w:t xml:space="preserve">Three Gorges Reservoir; </w:t>
      </w:r>
      <w:r>
        <w:rPr>
          <w:rFonts w:hint="eastAsia" w:ascii="Times New Roman" w:hAnsi="Times New Roman" w:eastAsia="宋体"/>
          <w:bCs/>
          <w:color w:val="auto"/>
          <w:sz w:val="21"/>
          <w:szCs w:val="21"/>
          <w:lang w:eastAsia="zh-CN"/>
        </w:rPr>
        <w:t>flood-season operating water level</w:t>
      </w:r>
      <w:r>
        <w:rPr>
          <w:rFonts w:ascii="Times New Roman" w:hAnsi="Times New Roman"/>
          <w:bCs/>
          <w:color w:val="auto"/>
          <w:sz w:val="21"/>
          <w:szCs w:val="21"/>
        </w:rPr>
        <w:t>; flood-control operation; one-dimensional hydrodynamic model; basin flood control safety</w:t>
      </w:r>
      <w:r>
        <w:rPr>
          <w:rFonts w:ascii="宋体" w:hAnsi="宋体" w:eastAsia="宋体" w:cs="宋体"/>
          <w:bCs/>
          <w:color w:val="auto"/>
          <w:sz w:val="21"/>
          <w:szCs w:val="21"/>
          <w:lang w:eastAsia="zh-CN"/>
        </w:rPr>
        <w:t>;</w:t>
      </w:r>
      <w:r>
        <w:rPr>
          <w:rFonts w:ascii="Times New Roman" w:hAnsi="Times New Roman"/>
          <w:bCs/>
          <w:color w:val="auto"/>
          <w:sz w:val="21"/>
          <w:szCs w:val="21"/>
        </w:rPr>
        <w:t xml:space="preserve"> threshold identification; dynamic control; </w:t>
      </w:r>
      <w:r>
        <w:rPr>
          <w:rFonts w:hint="eastAsia" w:ascii="Times New Roman" w:hAnsi="Times New Roman" w:eastAsia="宋体"/>
          <w:bCs/>
          <w:color w:val="auto"/>
          <w:sz w:val="21"/>
          <w:szCs w:val="21"/>
          <w:lang w:eastAsia="zh-CN"/>
        </w:rPr>
        <w:t>flood-resource utilization</w:t>
      </w:r>
    </w:p>
    <w:p w14:paraId="0B2D9A6D">
      <w:pPr>
        <w:spacing w:line="240" w:lineRule="auto"/>
        <w:jc w:val="left"/>
        <w:rPr>
          <w:color w:val="auto"/>
          <w:lang w:bidi="en-US"/>
        </w:rPr>
      </w:pPr>
    </w:p>
    <w:p w14:paraId="6F89F753">
      <w:pPr>
        <w:spacing w:line="240" w:lineRule="auto"/>
        <w:jc w:val="left"/>
        <w:rPr>
          <w:color w:val="auto"/>
          <w:lang w:bidi="en-US"/>
        </w:rPr>
      </w:pPr>
    </w:p>
    <w:p w14:paraId="1AE2200B">
      <w:pPr>
        <w:jc w:val="center"/>
        <w:rPr>
          <w:rFonts w:ascii="Times New Roman" w:hAnsi="Times New Roman"/>
          <w:b/>
          <w:bCs/>
          <w:color w:val="auto"/>
          <w:kern w:val="2"/>
          <w:sz w:val="48"/>
          <w:szCs w:val="32"/>
        </w:rPr>
      </w:pPr>
      <w:r>
        <w:rPr>
          <w:rFonts w:ascii="Times New Roman" w:hAnsi="Times New Roman"/>
          <w:b/>
          <w:bCs/>
          <w:color w:val="auto"/>
          <w:kern w:val="2"/>
          <w:sz w:val="48"/>
          <w:szCs w:val="32"/>
        </w:rPr>
        <w:t>基于工程自身防洪调节能力边界的河道型水库汛期运行水位关键阈值识别：以三峡水库为例</w:t>
      </w:r>
    </w:p>
    <w:p w14:paraId="6FF40742">
      <w:pPr>
        <w:jc w:val="center"/>
        <w:rPr>
          <w:rFonts w:ascii="Times New Roman" w:hAnsi="Times New Roman"/>
          <w:color w:val="auto"/>
          <w:szCs w:val="21"/>
        </w:rPr>
      </w:pPr>
      <w:r>
        <w:rPr>
          <w:rFonts w:hint="eastAsia" w:ascii="Times New Roman" w:hAnsi="Times New Roman" w:eastAsia="楷体"/>
          <w:color w:val="auto"/>
          <w:sz w:val="28"/>
          <w:szCs w:val="28"/>
        </w:rPr>
        <w:t>翟俨伟</w:t>
      </w:r>
      <w:r>
        <w:rPr>
          <w:rFonts w:ascii="Times New Roman" w:hAnsi="Times New Roman" w:eastAsia="楷体"/>
          <w:color w:val="auto"/>
          <w:sz w:val="28"/>
          <w:szCs w:val="28"/>
        </w:rPr>
        <w:t>，</w:t>
      </w:r>
      <w:r>
        <w:rPr>
          <w:rFonts w:hint="eastAsia" w:ascii="Times New Roman" w:hAnsi="Times New Roman" w:eastAsia="楷体"/>
          <w:color w:val="auto"/>
          <w:sz w:val="28"/>
          <w:szCs w:val="28"/>
        </w:rPr>
        <w:t>蒋定国</w:t>
      </w:r>
      <w:r>
        <w:rPr>
          <w:rFonts w:ascii="Times New Roman" w:hAnsi="Times New Roman" w:eastAsia="楷体"/>
          <w:color w:val="auto"/>
          <w:sz w:val="28"/>
          <w:szCs w:val="28"/>
        </w:rPr>
        <w:t>，</w:t>
      </w:r>
      <w:r>
        <w:rPr>
          <w:rFonts w:hint="eastAsia" w:ascii="Times New Roman" w:hAnsi="Times New Roman" w:eastAsia="楷体"/>
          <w:color w:val="auto"/>
          <w:sz w:val="28"/>
          <w:szCs w:val="28"/>
        </w:rPr>
        <w:t>张成潇，任 实</w:t>
      </w:r>
      <w:r>
        <w:rPr>
          <w:rFonts w:ascii="Times New Roman" w:hAnsi="Times New Roman"/>
          <w:color w:val="auto"/>
          <w:szCs w:val="21"/>
        </w:rPr>
        <w:t xml:space="preserve"> </w:t>
      </w:r>
    </w:p>
    <w:p w14:paraId="7FC750D4">
      <w:pPr>
        <w:jc w:val="center"/>
        <w:rPr>
          <w:rFonts w:ascii="Times New Roman" w:hAnsi="Times New Roman"/>
          <w:color w:val="auto"/>
          <w:szCs w:val="21"/>
        </w:rPr>
      </w:pPr>
      <w:r>
        <w:rPr>
          <w:rFonts w:ascii="Times New Roman" w:hAnsi="Times New Roman"/>
          <w:color w:val="auto"/>
          <w:szCs w:val="21"/>
        </w:rPr>
        <w:t>（</w:t>
      </w:r>
      <w:r>
        <w:rPr>
          <w:rFonts w:hint="eastAsia" w:ascii="Times New Roman" w:hAnsi="Times New Roman" w:eastAsia="仿宋"/>
          <w:color w:val="auto"/>
          <w:szCs w:val="21"/>
        </w:rPr>
        <w:t xml:space="preserve">中国长江三峡集团有限公司，北京 </w:t>
      </w:r>
      <w:r>
        <w:rPr>
          <w:rFonts w:ascii="Times New Roman" w:hAnsi="Times New Roman" w:eastAsiaTheme="minorEastAsia"/>
          <w:color w:val="auto"/>
          <w:sz w:val="21"/>
          <w:szCs w:val="21"/>
        </w:rPr>
        <w:t xml:space="preserve"> 101199</w:t>
      </w:r>
      <w:r>
        <w:rPr>
          <w:rFonts w:hint="eastAsia" w:ascii="Times New Roman" w:hAnsi="Times New Roman" w:eastAsia="仿宋"/>
          <w:color w:val="auto"/>
          <w:szCs w:val="21"/>
        </w:rPr>
        <w:t>，中国</w:t>
      </w:r>
      <w:r>
        <w:rPr>
          <w:rFonts w:ascii="Times New Roman" w:hAnsi="Times New Roman"/>
          <w:color w:val="auto"/>
          <w:szCs w:val="21"/>
        </w:rPr>
        <w:t>）</w:t>
      </w:r>
    </w:p>
    <w:p w14:paraId="1C74DDC3">
      <w:pPr>
        <w:rPr>
          <w:rFonts w:ascii="Times New Roman" w:hAnsi="Times New Roman"/>
          <w:color w:val="auto"/>
          <w:szCs w:val="21"/>
        </w:rPr>
      </w:pPr>
    </w:p>
    <w:p w14:paraId="4A6C4859">
      <w:pPr>
        <w:rPr>
          <w:rFonts w:ascii="Times New Roman" w:hAnsi="Times New Roman" w:eastAsia="楷体"/>
          <w:color w:val="auto"/>
          <w:szCs w:val="21"/>
        </w:rPr>
      </w:pPr>
      <w:r>
        <w:rPr>
          <w:rFonts w:ascii="Times New Roman" w:hAnsi="Times New Roman" w:eastAsia="楷体"/>
          <w:color w:val="auto"/>
          <w:szCs w:val="21"/>
        </w:rPr>
        <w:t>【目的】在极端降雨趋强、洪水遭遇关系日趋复杂及水资源精细化利用需求不断提高的背景下，</w:t>
      </w:r>
      <w:r>
        <w:rPr>
          <w:rFonts w:hint="eastAsia" w:ascii="Times New Roman" w:hAnsi="Times New Roman" w:eastAsia="楷体"/>
          <w:color w:val="auto"/>
          <w:szCs w:val="21"/>
        </w:rPr>
        <w:t>挖掘水库防洪与兴利的潜力，</w:t>
      </w:r>
      <w:r>
        <w:rPr>
          <w:rFonts w:ascii="Times New Roman" w:hAnsi="Times New Roman" w:eastAsia="楷体"/>
          <w:color w:val="auto"/>
          <w:szCs w:val="21"/>
        </w:rPr>
        <w:t>识别三峡工程自身防洪调节能力约束下汛期运行水位的关键阈值，为动态水位控制和洪水资源利用提供依据。【方法】在不考虑上游梯级水库联合调度和预见期预泄的基准情景下，构建并优化三峡库区一维非恒定流水动力模型，采用分段库容匹配和未控区间流量反演技术提高河道型库区沿程水位过程的模拟精度。选取1954、1966、1981、1982、1998、2012和2020年典型洪水，采用同频率放大法构建1%、0.1%和0.01%频率设计洪水，分析不同起调水位和分级下泄条件下坝前最高调洪水位及</w:t>
      </w:r>
      <w:r>
        <w:rPr>
          <w:rFonts w:hint="eastAsia" w:ascii="Times New Roman" w:hAnsi="Times New Roman" w:eastAsia="楷体"/>
          <w:color w:val="auto"/>
          <w:szCs w:val="21"/>
        </w:rPr>
        <w:t>超标准洪水</w:t>
      </w:r>
      <w:r>
        <w:rPr>
          <w:rFonts w:ascii="Times New Roman" w:hAnsi="Times New Roman" w:eastAsia="楷体"/>
          <w:color w:val="auto"/>
          <w:szCs w:val="21"/>
        </w:rPr>
        <w:t>变化。【结果】优化模型能够较好模拟三峡库区沿程水位过程，各代表站水位模拟的平均绝对误差和均方根误差分别为0.03～0.35 m和0.03～0.49 m。当起调水位不超过155 m时，多数典型洪水条件下坝前最高调洪水位和累计出库洪量随起调水位的变化总体较小；当起调水位超过155 m后，剩余有效防洪库容进一步减小，坝前最高调洪水位及高流量出库响应对起调水位的敏感性明显增强。在起调水位一定时，提高设定下泄能力总体上能够降低坝前最高调洪水位；对于0.1%和0.01%频率洪水，较高的下泄上限可能增加高流量出库的持续时间或累计洪量。【结论】在本文模型结构、设计洪水、调度规则及边界条件下，155 m可作为三峡工程自身防洪调节能力变化的偏保守参考边界。145～155 m起调区间内工程调洪响应相对稳定并保留较大的防洪调节裕度，但155 m不应理解为汛期固定运行水位。研究结果可为后续结合实时洪水预报、梯级联合调度和预见期预泄开展动态汛期运行水位控制与洪水资源利用研究提供基础。</w:t>
      </w:r>
    </w:p>
    <w:p w14:paraId="37205540">
      <w:pPr>
        <w:rPr>
          <w:rStyle w:val="15"/>
          <w:rFonts w:ascii="Times New Roman" w:hAnsi="Times New Roman"/>
          <w:b w:val="0"/>
          <w:color w:val="auto"/>
          <w:szCs w:val="21"/>
        </w:rPr>
      </w:pPr>
      <w:r>
        <w:rPr>
          <w:rStyle w:val="15"/>
          <w:rFonts w:ascii="Times New Roman" w:hAnsi="Times New Roman" w:eastAsia="黑体"/>
          <w:color w:val="auto"/>
        </w:rPr>
        <w:t>关键词：</w:t>
      </w:r>
      <w:r>
        <w:rPr>
          <w:rFonts w:ascii="Times New Roman" w:hAnsi="Times New Roman"/>
          <w:color w:val="auto"/>
        </w:rPr>
        <w:t>三峡水库；汛期运行水位；防洪调度；一维水动力模型；流域防洪安全</w:t>
      </w:r>
      <w:r>
        <w:rPr>
          <w:rFonts w:hint="eastAsia" w:ascii="Times New Roman" w:hAnsi="Times New Roman"/>
          <w:color w:val="auto"/>
        </w:rPr>
        <w:t>；阈值识别；动态控制；洪水资源利用</w:t>
      </w:r>
    </w:p>
    <w:p w14:paraId="6E7346B3">
      <w:pPr>
        <w:ind w:right="400" w:rightChars="200"/>
        <w:rPr>
          <w:rFonts w:ascii="Times New Roman" w:hAnsi="Times New Roman"/>
          <w:color w:val="auto"/>
          <w:sz w:val="18"/>
          <w:szCs w:val="18"/>
        </w:rPr>
      </w:pPr>
      <w:r>
        <w:rPr>
          <w:rFonts w:ascii="Times New Roman" w:hAnsi="Times New Roman" w:eastAsia="黑体"/>
          <w:b/>
          <w:bCs/>
          <w:color w:val="auto"/>
          <w:sz w:val="18"/>
          <w:szCs w:val="18"/>
        </w:rPr>
        <w:t>中图分类号</w:t>
      </w:r>
      <w:r>
        <w:rPr>
          <w:rFonts w:ascii="Times New Roman" w:hAnsi="Times New Roman"/>
          <w:color w:val="auto"/>
          <w:sz w:val="18"/>
          <w:szCs w:val="18"/>
        </w:rPr>
        <w:t xml:space="preserve">：TV213.4            </w:t>
      </w:r>
      <w:r>
        <w:rPr>
          <w:rFonts w:ascii="Times New Roman" w:hAnsi="Times New Roman" w:eastAsia="黑体"/>
          <w:b/>
          <w:color w:val="auto"/>
          <w:sz w:val="18"/>
          <w:szCs w:val="18"/>
        </w:rPr>
        <w:t>文献标志码</w:t>
      </w:r>
      <w:r>
        <w:rPr>
          <w:rFonts w:ascii="Times New Roman" w:hAnsi="Times New Roman"/>
          <w:b/>
          <w:color w:val="auto"/>
          <w:sz w:val="18"/>
          <w:szCs w:val="18"/>
        </w:rPr>
        <w:t>：A</w:t>
      </w:r>
      <w:r>
        <w:rPr>
          <w:rFonts w:ascii="Times New Roman" w:hAnsi="Times New Roman"/>
          <w:color w:val="auto"/>
          <w:sz w:val="18"/>
          <w:szCs w:val="18"/>
        </w:rPr>
        <w:t xml:space="preserve">         </w:t>
      </w:r>
    </w:p>
    <w:p w14:paraId="576C21AF">
      <w:pPr>
        <w:tabs>
          <w:tab w:val="left" w:pos="6666"/>
        </w:tabs>
        <w:ind w:firstLine="420"/>
        <w:rPr>
          <w:b/>
          <w:color w:val="auto"/>
        </w:rPr>
      </w:pPr>
      <w:r>
        <w:rPr>
          <w:rFonts w:hint="eastAsia"/>
          <w:b/>
          <w:color w:val="auto"/>
        </w:rPr>
        <w:t>开放科学（资源服务）标志码（</w:t>
      </w:r>
      <w:r>
        <w:rPr>
          <w:b/>
          <w:color w:val="auto"/>
        </w:rPr>
        <w:t>OSID</w:t>
      </w:r>
      <w:r>
        <w:rPr>
          <w:rFonts w:hint="eastAsia"/>
          <w:b/>
          <w:color w:val="auto"/>
        </w:rPr>
        <w:t>）：</w:t>
      </w:r>
      <w:r>
        <w:rPr>
          <w:rFonts w:hint="eastAsia"/>
          <w:b/>
          <w:color w:val="auto"/>
        </w:rPr>
        <w:drawing>
          <wp:inline distT="0" distB="0" distL="114300" distR="114300">
            <wp:extent cx="1762760" cy="1762760"/>
            <wp:effectExtent l="0" t="0" r="8890" b="8890"/>
            <wp:docPr id="1" name="图片 1" descr="Identifying key thresholds for flood-season operating water level in a riverine reservoir from the perspective of intrinsic flood-regulation capacity_ A case study of the Three Gorges Reservo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dentifying key thresholds for flood-season operating water level in a riverine reservoir from the perspective of intrinsic flood-regulation capacity_ A case study of the Three Gorges Reservoir"/>
                    <pic:cNvPicPr>
                      <a:picLocks noChangeAspect="1"/>
                    </pic:cNvPicPr>
                  </pic:nvPicPr>
                  <pic:blipFill>
                    <a:blip r:embed="rId9"/>
                    <a:stretch>
                      <a:fillRect/>
                    </a:stretch>
                  </pic:blipFill>
                  <pic:spPr>
                    <a:xfrm>
                      <a:off x="0" y="0"/>
                      <a:ext cx="1762760" cy="1762760"/>
                    </a:xfrm>
                    <a:prstGeom prst="rect">
                      <a:avLst/>
                    </a:prstGeom>
                  </pic:spPr>
                </pic:pic>
              </a:graphicData>
            </a:graphic>
          </wp:inline>
        </w:drawing>
      </w:r>
    </w:p>
    <w:p w14:paraId="6A551C8D">
      <w:pPr>
        <w:ind w:right="400" w:rightChars="200"/>
        <w:rPr>
          <w:rFonts w:ascii="Times New Roman" w:hAnsi="Times New Roman"/>
          <w:color w:val="auto"/>
          <w:sz w:val="18"/>
          <w:szCs w:val="18"/>
        </w:rPr>
      </w:pPr>
    </w:p>
    <w:p w14:paraId="5E352F3A">
      <w:pPr>
        <w:pStyle w:val="8"/>
        <w:rPr>
          <w:rFonts w:ascii="Times New Roman" w:hAnsi="Times New Roman" w:eastAsia="黑体"/>
          <w:b/>
          <w:bCs/>
          <w:color w:val="auto"/>
          <w:szCs w:val="18"/>
          <w:u w:val="single"/>
        </w:rPr>
      </w:pPr>
      <w:r>
        <w:rPr>
          <w:rFonts w:ascii="Times New Roman" w:hAnsi="Times New Roman" w:eastAsia="黑体"/>
          <w:b/>
          <w:bCs/>
          <w:color w:val="auto"/>
          <w:szCs w:val="18"/>
          <w:u w:val="single"/>
        </w:rPr>
        <w:t xml:space="preserve">                                      </w:t>
      </w:r>
    </w:p>
    <w:p w14:paraId="3961B463">
      <w:pPr>
        <w:pStyle w:val="8"/>
        <w:rPr>
          <w:rFonts w:ascii="Times New Roman" w:hAnsi="Times New Roman" w:eastAsia="黑体"/>
          <w:b/>
          <w:bCs/>
          <w:color w:val="auto"/>
          <w:szCs w:val="18"/>
        </w:rPr>
      </w:pPr>
      <w:r>
        <w:rPr>
          <w:rFonts w:ascii="Times New Roman" w:hAnsi="Times New Roman" w:eastAsia="黑体"/>
          <w:b/>
          <w:bCs/>
          <w:color w:val="auto"/>
          <w:szCs w:val="18"/>
        </w:rPr>
        <w:t>Article history:</w:t>
      </w:r>
      <w:r>
        <w:rPr>
          <w:rFonts w:hint="eastAsia" w:ascii="Times New Roman" w:hAnsi="Times New Roman" w:eastAsia="黑体"/>
          <w:b/>
          <w:bCs/>
          <w:color w:val="auto"/>
          <w:szCs w:val="18"/>
        </w:rPr>
        <w:t xml:space="preserve"> </w:t>
      </w:r>
      <w:r>
        <w:rPr>
          <w:rFonts w:ascii="Times New Roman" w:hAnsi="Times New Roman" w:eastAsia="黑体"/>
          <w:color w:val="auto"/>
          <w:szCs w:val="18"/>
        </w:rPr>
        <w:t>Received</w:t>
      </w:r>
      <w:r>
        <w:rPr>
          <w:rFonts w:hint="eastAsia" w:ascii="Times New Roman" w:hAnsi="Times New Roman" w:eastAsia="黑体"/>
          <w:color w:val="auto"/>
          <w:szCs w:val="18"/>
        </w:rPr>
        <w:t xml:space="preserve"> 14 May 2026；Revised</w:t>
      </w:r>
      <w:r>
        <w:rPr>
          <w:rFonts w:ascii="Times New Roman" w:hAnsi="Times New Roman" w:eastAsia="黑体"/>
          <w:color w:val="auto"/>
          <w:szCs w:val="18"/>
        </w:rPr>
        <w:t xml:space="preserve"> 20 August 2026</w:t>
      </w:r>
      <w:r>
        <w:rPr>
          <w:rFonts w:hint="eastAsia" w:ascii="Times New Roman" w:hAnsi="Times New Roman" w:eastAsia="黑体"/>
          <w:color w:val="auto"/>
          <w:szCs w:val="18"/>
        </w:rPr>
        <w:t>；Accepted</w:t>
      </w:r>
      <w:r>
        <w:rPr>
          <w:rFonts w:ascii="Times New Roman" w:hAnsi="Times New Roman" w:eastAsia="黑体"/>
          <w:color w:val="auto"/>
          <w:szCs w:val="18"/>
        </w:rPr>
        <w:t xml:space="preserve"> 21 August 2026</w:t>
      </w:r>
      <w:r>
        <w:rPr>
          <w:rFonts w:hint="eastAsia" w:ascii="Times New Roman" w:hAnsi="Times New Roman" w:eastAsia="黑体"/>
          <w:color w:val="auto"/>
          <w:szCs w:val="18"/>
        </w:rPr>
        <w:t xml:space="preserve">；Available online </w:t>
      </w:r>
      <w:r>
        <w:rPr>
          <w:rFonts w:ascii="Times New Roman" w:hAnsi="Times New Roman" w:eastAsia="黑体"/>
          <w:color w:val="auto"/>
          <w:szCs w:val="18"/>
        </w:rPr>
        <w:t>September 2026</w:t>
      </w:r>
    </w:p>
    <w:p w14:paraId="74521E84">
      <w:pPr>
        <w:pStyle w:val="8"/>
        <w:rPr>
          <w:rFonts w:ascii="Times New Roman" w:hAnsi="Times New Roman"/>
          <w:b/>
          <w:color w:val="auto"/>
          <w:szCs w:val="18"/>
        </w:rPr>
      </w:pPr>
      <w:r>
        <w:rPr>
          <w:rFonts w:ascii="Times New Roman" w:hAnsi="Times New Roman" w:eastAsia="黑体"/>
          <w:b/>
          <w:bCs/>
          <w:color w:val="auto"/>
          <w:szCs w:val="18"/>
        </w:rPr>
        <w:t>收稿日期：</w:t>
      </w:r>
      <w:r>
        <w:rPr>
          <w:rFonts w:hint="eastAsia" w:ascii="Times New Roman" w:hAnsi="Times New Roman" w:eastAsia="黑体"/>
          <w:b/>
          <w:bCs/>
          <w:color w:val="auto"/>
          <w:szCs w:val="18"/>
        </w:rPr>
        <w:t>2026-05-14</w:t>
      </w:r>
      <w:r>
        <w:rPr>
          <w:rFonts w:hint="eastAsia" w:ascii="Times New Roman" w:hAnsi="Times New Roman"/>
          <w:color w:val="auto"/>
          <w:szCs w:val="18"/>
        </w:rPr>
        <w:t>；</w:t>
      </w:r>
      <w:r>
        <w:rPr>
          <w:rFonts w:hint="eastAsia" w:ascii="Times New Roman" w:hAnsi="Times New Roman" w:eastAsia="黑体"/>
          <w:b/>
          <w:bCs/>
          <w:color w:val="auto"/>
          <w:szCs w:val="18"/>
        </w:rPr>
        <w:t>修回日期</w:t>
      </w:r>
      <w:r>
        <w:rPr>
          <w:rFonts w:hint="eastAsia" w:ascii="Times New Roman" w:hAnsi="Times New Roman"/>
          <w:color w:val="auto"/>
          <w:szCs w:val="18"/>
        </w:rPr>
        <w:t>：</w:t>
      </w:r>
      <w:r>
        <w:rPr>
          <w:rFonts w:ascii="Times New Roman" w:hAnsi="Times New Roman"/>
          <w:color w:val="auto"/>
          <w:szCs w:val="18"/>
        </w:rPr>
        <w:t>2026-08-20</w:t>
      </w:r>
      <w:r>
        <w:rPr>
          <w:rFonts w:hint="eastAsia" w:ascii="Times New Roman" w:hAnsi="Times New Roman"/>
          <w:color w:val="auto"/>
          <w:szCs w:val="18"/>
        </w:rPr>
        <w:t>；</w:t>
      </w:r>
      <w:r>
        <w:rPr>
          <w:rFonts w:hint="eastAsia" w:ascii="Times New Roman" w:hAnsi="Times New Roman" w:eastAsia="黑体"/>
          <w:b/>
          <w:bCs/>
          <w:color w:val="auto"/>
          <w:szCs w:val="18"/>
        </w:rPr>
        <w:t>录用</w:t>
      </w:r>
      <w:r>
        <w:rPr>
          <w:rFonts w:ascii="Times New Roman" w:hAnsi="Times New Roman" w:eastAsia="黑体"/>
          <w:b/>
          <w:bCs/>
          <w:color w:val="auto"/>
          <w:szCs w:val="18"/>
        </w:rPr>
        <w:t>日期：</w:t>
      </w:r>
      <w:r>
        <w:rPr>
          <w:rFonts w:ascii="Times New Roman" w:hAnsi="Times New Roman"/>
          <w:color w:val="auto"/>
          <w:szCs w:val="18"/>
        </w:rPr>
        <w:t>2026-08-21</w:t>
      </w:r>
      <w:r>
        <w:rPr>
          <w:rFonts w:hint="eastAsia" w:ascii="Times New Roman" w:hAnsi="Times New Roman"/>
          <w:color w:val="auto"/>
          <w:szCs w:val="18"/>
        </w:rPr>
        <w:t>；</w:t>
      </w:r>
      <w:r>
        <w:rPr>
          <w:rFonts w:hint="eastAsia" w:ascii="Times New Roman" w:hAnsi="Times New Roman" w:eastAsia="黑体"/>
          <w:b/>
          <w:bCs/>
          <w:color w:val="auto"/>
          <w:szCs w:val="18"/>
        </w:rPr>
        <w:t>网络出版</w:t>
      </w:r>
      <w:r>
        <w:rPr>
          <w:rFonts w:ascii="Times New Roman" w:hAnsi="Times New Roman" w:eastAsia="黑体"/>
          <w:b/>
          <w:bCs/>
          <w:color w:val="auto"/>
          <w:szCs w:val="18"/>
        </w:rPr>
        <w:t>日期：</w:t>
      </w:r>
      <w:r>
        <w:rPr>
          <w:rFonts w:ascii="Times New Roman" w:hAnsi="Times New Roman"/>
          <w:color w:val="auto"/>
          <w:szCs w:val="18"/>
        </w:rPr>
        <w:t xml:space="preserve"> 2026-09</w:t>
      </w:r>
    </w:p>
    <w:p w14:paraId="0D69A505">
      <w:pPr>
        <w:pStyle w:val="8"/>
        <w:rPr>
          <w:rFonts w:ascii="Times New Roman" w:hAnsi="Times New Roman" w:eastAsia="黑体"/>
          <w:b/>
          <w:bCs/>
          <w:color w:val="auto"/>
          <w:spacing w:val="-2"/>
          <w:szCs w:val="18"/>
        </w:rPr>
      </w:pPr>
      <w:r>
        <w:rPr>
          <w:rFonts w:ascii="Times New Roman" w:hAnsi="Times New Roman" w:eastAsia="黑体"/>
          <w:b/>
          <w:bCs/>
          <w:color w:val="auto"/>
          <w:spacing w:val="-2"/>
          <w:szCs w:val="18"/>
        </w:rPr>
        <w:t>Financial Aid</w:t>
      </w:r>
      <w:r>
        <w:rPr>
          <w:rFonts w:hint="eastAsia" w:ascii="Times New Roman" w:hAnsi="Times New Roman" w:eastAsia="黑体"/>
          <w:b/>
          <w:bCs/>
          <w:color w:val="auto"/>
          <w:spacing w:val="-2"/>
          <w:szCs w:val="18"/>
        </w:rPr>
        <w:t>：</w:t>
      </w:r>
      <w:r>
        <w:rPr>
          <w:rFonts w:ascii="Times New Roman" w:hAnsi="Times New Roman"/>
          <w:color w:val="auto"/>
        </w:rPr>
        <w:t>National Natural Science Foundation of China(52109081)</w:t>
      </w:r>
      <w:r>
        <w:rPr>
          <w:rFonts w:hint="eastAsia" w:ascii="Times New Roman" w:hAnsi="Times New Roman"/>
          <w:color w:val="auto"/>
        </w:rPr>
        <w:t xml:space="preserve">; </w:t>
      </w:r>
      <w:r>
        <w:rPr>
          <w:rFonts w:ascii="Times New Roman" w:hAnsi="Times New Roman"/>
          <w:color w:val="auto"/>
        </w:rPr>
        <w:t>China Three Gorges Corporation Scientific Research Project (WWKY-2021-0439); National Key Research and Development Program of China (2022YFC3203900)</w:t>
      </w:r>
    </w:p>
    <w:p w14:paraId="28EC560F">
      <w:pPr>
        <w:pStyle w:val="8"/>
        <w:rPr>
          <w:rFonts w:ascii="Times New Roman" w:hAnsi="Times New Roman"/>
          <w:color w:val="auto"/>
          <w:szCs w:val="18"/>
        </w:rPr>
      </w:pPr>
      <w:r>
        <w:rPr>
          <w:rFonts w:ascii="Times New Roman" w:hAnsi="Times New Roman" w:eastAsia="黑体"/>
          <w:b/>
          <w:bCs/>
          <w:color w:val="auto"/>
          <w:spacing w:val="-2"/>
          <w:szCs w:val="18"/>
        </w:rPr>
        <w:t>基金项目：</w:t>
      </w:r>
      <w:r>
        <w:rPr>
          <w:rFonts w:ascii="Times New Roman" w:hAnsi="Times New Roman"/>
          <w:color w:val="auto"/>
        </w:rPr>
        <w:t>国家自然科学基金项目（52109081）</w:t>
      </w:r>
      <w:r>
        <w:rPr>
          <w:rFonts w:hint="eastAsia" w:ascii="Times New Roman" w:hAnsi="Times New Roman"/>
          <w:color w:val="auto"/>
        </w:rPr>
        <w:t>；</w:t>
      </w:r>
      <w:r>
        <w:rPr>
          <w:rFonts w:ascii="Times New Roman" w:hAnsi="Times New Roman"/>
          <w:color w:val="auto"/>
        </w:rPr>
        <w:t>中国长江三峡集团有限公司科研项目（WWKY-2021-0439）</w:t>
      </w:r>
      <w:r>
        <w:rPr>
          <w:rFonts w:hint="eastAsia" w:ascii="Times New Roman" w:hAnsi="Times New Roman"/>
          <w:color w:val="auto"/>
        </w:rPr>
        <w:t>；</w:t>
      </w:r>
      <w:r>
        <w:rPr>
          <w:rFonts w:ascii="Times New Roman" w:hAnsi="Times New Roman"/>
          <w:color w:val="auto"/>
        </w:rPr>
        <w:t>国家重点研发计划项目 (2022YFC3203900)</w:t>
      </w:r>
    </w:p>
    <w:p w14:paraId="0DAE3B7E">
      <w:pPr>
        <w:pStyle w:val="8"/>
        <w:rPr>
          <w:rFonts w:ascii="Times New Roman" w:hAnsi="Times New Roman"/>
          <w:color w:val="auto"/>
          <w:szCs w:val="18"/>
        </w:rPr>
      </w:pPr>
      <w:r>
        <w:rPr>
          <w:rFonts w:ascii="Times New Roman" w:hAnsi="Times New Roman"/>
          <w:b/>
          <w:bCs/>
          <w:color w:val="auto"/>
          <w:szCs w:val="18"/>
        </w:rPr>
        <w:t>About the author</w:t>
      </w:r>
      <w:r>
        <w:rPr>
          <w:rFonts w:hint="eastAsia" w:ascii="Times New Roman" w:hAnsi="Times New Roman"/>
          <w:b/>
          <w:bCs/>
          <w:color w:val="auto"/>
          <w:szCs w:val="18"/>
        </w:rPr>
        <w:t>：</w:t>
      </w:r>
      <w:r>
        <w:rPr>
          <w:rFonts w:hint="eastAsia" w:ascii="Times New Roman" w:hAnsi="Times New Roman"/>
          <w:color w:val="auto"/>
          <w:szCs w:val="18"/>
        </w:rPr>
        <w:t>ZHAI Yanwei（1992-），male，senior engineer，</w:t>
      </w:r>
      <w:r>
        <w:rPr>
          <w:rFonts w:ascii="Times New Roman" w:hAnsi="Times New Roman"/>
          <w:color w:val="auto"/>
          <w:szCs w:val="18"/>
        </w:rPr>
        <w:t>PhD</w:t>
      </w:r>
      <w:r>
        <w:rPr>
          <w:rFonts w:hint="eastAsia" w:ascii="Times New Roman" w:hAnsi="Times New Roman"/>
          <w:color w:val="auto"/>
          <w:szCs w:val="18"/>
        </w:rPr>
        <w:t xml:space="preserve">，mainly engaged in water resources management research. </w:t>
      </w:r>
      <w:r>
        <w:rPr>
          <w:rFonts w:ascii="Times New Roman" w:hAnsi="Times New Roman"/>
          <w:color w:val="auto"/>
          <w:spacing w:val="4"/>
          <w:sz w:val="18"/>
          <w:szCs w:val="18"/>
        </w:rPr>
        <w:t>E-mail：</w:t>
      </w:r>
      <w:r>
        <w:rPr>
          <w:rFonts w:hint="eastAsia" w:ascii="Times New Roman" w:hAnsi="Times New Roman"/>
          <w:color w:val="auto"/>
          <w:spacing w:val="4"/>
          <w:sz w:val="18"/>
          <w:szCs w:val="18"/>
        </w:rPr>
        <w:t>zhaiyw1992@163.com</w:t>
      </w:r>
      <w:r>
        <w:rPr>
          <w:rFonts w:hint="eastAsia" w:ascii="Times New Roman" w:hAnsi="Times New Roman"/>
          <w:color w:val="auto"/>
          <w:szCs w:val="18"/>
        </w:rPr>
        <w:t xml:space="preserve"> </w:t>
      </w:r>
    </w:p>
    <w:p w14:paraId="702D1388">
      <w:pPr>
        <w:rPr>
          <w:rFonts w:ascii="Times New Roman" w:hAnsi="Times New Roman"/>
          <w:color w:val="auto"/>
          <w:spacing w:val="4"/>
          <w:sz w:val="18"/>
          <w:szCs w:val="18"/>
        </w:rPr>
      </w:pPr>
      <w:r>
        <w:rPr>
          <w:rFonts w:ascii="Times New Roman" w:hAnsi="Times New Roman" w:eastAsia="黑体"/>
          <w:b/>
          <w:bCs/>
          <w:color w:val="auto"/>
          <w:spacing w:val="-2"/>
          <w:sz w:val="18"/>
          <w:szCs w:val="18"/>
        </w:rPr>
        <w:t>作者简介：</w:t>
      </w:r>
      <w:r>
        <w:rPr>
          <w:rFonts w:hint="eastAsia" w:ascii="Times New Roman" w:hAnsi="Times New Roman"/>
          <w:color w:val="auto"/>
          <w:sz w:val="18"/>
          <w:szCs w:val="18"/>
        </w:rPr>
        <w:t>翟俨伟</w:t>
      </w:r>
      <w:r>
        <w:rPr>
          <w:rFonts w:ascii="Times New Roman" w:hAnsi="Times New Roman"/>
          <w:color w:val="auto"/>
          <w:sz w:val="18"/>
          <w:szCs w:val="18"/>
        </w:rPr>
        <w:t>（</w:t>
      </w:r>
      <w:r>
        <w:rPr>
          <w:rFonts w:hint="eastAsia" w:ascii="Times New Roman" w:hAnsi="Times New Roman"/>
          <w:color w:val="auto"/>
          <w:spacing w:val="4"/>
          <w:sz w:val="18"/>
          <w:szCs w:val="18"/>
        </w:rPr>
        <w:t>1992</w:t>
      </w:r>
      <w:r>
        <w:rPr>
          <w:rFonts w:ascii="Times New Roman" w:hAnsi="Times New Roman"/>
          <w:color w:val="auto"/>
          <w:sz w:val="18"/>
          <w:szCs w:val="18"/>
        </w:rPr>
        <w:t>—），</w:t>
      </w:r>
      <w:r>
        <w:rPr>
          <w:rFonts w:ascii="Times New Roman" w:hAnsi="Times New Roman"/>
          <w:color w:val="auto"/>
          <w:spacing w:val="4"/>
          <w:sz w:val="18"/>
          <w:szCs w:val="18"/>
        </w:rPr>
        <w:t>男，高级工程师，博士，主要从事水资源管理研究。E-mail：zhaiyw1992@163.com</w:t>
      </w:r>
    </w:p>
    <w:p w14:paraId="0C53428B">
      <w:pPr>
        <w:pStyle w:val="8"/>
        <w:rPr>
          <w:rFonts w:ascii="Times New Roman" w:hAnsi="Times New Roman"/>
          <w:color w:val="auto"/>
          <w:sz w:val="21"/>
          <w:szCs w:val="21"/>
        </w:rPr>
      </w:pPr>
    </w:p>
    <w:p w14:paraId="712C84D1">
      <w:pPr>
        <w:pStyle w:val="8"/>
        <w:rPr>
          <w:rFonts w:ascii="Times New Roman" w:hAnsi="Times New Roman"/>
          <w:color w:val="auto"/>
          <w:sz w:val="21"/>
          <w:szCs w:val="21"/>
        </w:rPr>
      </w:pPr>
    </w:p>
    <w:p w14:paraId="53F03A37">
      <w:pPr>
        <w:pStyle w:val="48"/>
        <w:ind w:left="0"/>
        <w:rPr>
          <w:rFonts w:ascii="Times New Roman" w:hAnsi="Times New Roman"/>
          <w:color w:val="auto"/>
          <w:sz w:val="28"/>
          <w:szCs w:val="28"/>
        </w:rPr>
      </w:pPr>
      <w:r>
        <w:rPr>
          <w:rFonts w:ascii="Times New Roman" w:hAnsi="Times New Roman"/>
          <w:color w:val="auto"/>
          <w:sz w:val="28"/>
          <w:szCs w:val="28"/>
        </w:rPr>
        <w:t>1. Introduction</w:t>
      </w:r>
    </w:p>
    <w:p w14:paraId="41F62639">
      <w:pPr>
        <w:pStyle w:val="34"/>
        <w:spacing w:line="240" w:lineRule="atLeast"/>
        <w:ind w:left="0" w:firstLine="420" w:firstLineChars="200"/>
        <w:rPr>
          <w:rFonts w:ascii="Times New Roman" w:hAnsi="Times New Roman"/>
          <w:color w:val="auto"/>
          <w:sz w:val="21"/>
          <w:szCs w:val="21"/>
        </w:rPr>
      </w:pPr>
      <w:r>
        <w:rPr>
          <w:rFonts w:ascii="Times New Roman" w:hAnsi="Times New Roman"/>
          <w:color w:val="auto"/>
          <w:sz w:val="21"/>
          <w:szCs w:val="21"/>
        </w:rPr>
        <w:t xml:space="preserve">Control of the flood-season operating water level of large reservoirs is a key issue in the coordinated optimization of basin flood-risk management and the comprehensive utilization of water resources. A relatively low operating water level is conducive to reserving flood-control storage and reducing the operational risk associated with sudden floods, but it may compromise the comprehensive benefits of hydropower generation, navigation, water supply, and other functions. Conversely, a relatively high operating water level can improve </w:t>
      </w:r>
      <w:r>
        <w:rPr>
          <w:rFonts w:hint="eastAsia" w:ascii="Times New Roman" w:hAnsi="Times New Roman" w:eastAsia="宋体"/>
          <w:color w:val="auto"/>
          <w:sz w:val="21"/>
          <w:szCs w:val="21"/>
          <w:lang w:eastAsia="zh-CN"/>
        </w:rPr>
        <w:t>water resource utilization</w:t>
      </w:r>
      <w:r>
        <w:rPr>
          <w:rFonts w:ascii="Times New Roman" w:hAnsi="Times New Roman"/>
          <w:color w:val="auto"/>
          <w:sz w:val="21"/>
          <w:szCs w:val="21"/>
        </w:rPr>
        <w:t xml:space="preserve"> efficiency, but may weaken flood-peak attenuation capacity and increase flood-control pressure in both the reservoir area and downstream regions. The Three Gorges Project is a key controlling backbone project in the flood-control and disaster-mitigation system of the Yangtze River Basin. It undertakes multiple functions, including flood-control compensation for the Jingjiang reach and the Chenglingji area, as well as hydropower generation, navigation, and water supply</w:t>
      </w:r>
      <w:r>
        <w:rPr>
          <w:rFonts w:hint="eastAsia" w:ascii="Times New Roman" w:hAnsi="Times New Roman" w:eastAsiaTheme="minorEastAsia"/>
          <w:color w:val="auto"/>
          <w:sz w:val="21"/>
          <w:szCs w:val="21"/>
          <w:lang w:eastAsia="zh-CN"/>
        </w:rPr>
        <w:t>,</w:t>
      </w:r>
      <w:r>
        <w:rPr>
          <w:rFonts w:ascii="Times New Roman" w:hAnsi="Times New Roman"/>
          <w:color w:val="auto"/>
          <w:sz w:val="21"/>
          <w:szCs w:val="21"/>
        </w:rPr>
        <w:t xml:space="preserve"> and strategic project-safety support. Its flood-season operating water level affects</w:t>
      </w:r>
      <w:r>
        <w:rPr>
          <w:rFonts w:hint="eastAsia" w:ascii="Times New Roman" w:hAnsi="Times New Roman" w:eastAsia="宋体"/>
          <w:color w:val="auto"/>
          <w:sz w:val="21"/>
          <w:szCs w:val="21"/>
          <w:lang w:eastAsia="zh-CN"/>
        </w:rPr>
        <w:t xml:space="preserve"> </w:t>
      </w:r>
      <w:r>
        <w:rPr>
          <w:rFonts w:ascii="Times New Roman" w:hAnsi="Times New Roman"/>
          <w:color w:val="auto"/>
          <w:sz w:val="21"/>
          <w:szCs w:val="21"/>
        </w:rPr>
        <w:t>not only the flood-regulation process of the project itself, but also high-water-level risks along the reservoir area and the overall pattern of downstream flood-control safety</w:t>
      </w:r>
      <w:r>
        <w:rPr>
          <w:rFonts w:ascii="Times New Roman" w:hAnsi="Times New Roman"/>
          <w:color w:val="auto"/>
          <w:sz w:val="21"/>
          <w:szCs w:val="21"/>
          <w:vertAlign w:val="superscript"/>
        </w:rPr>
        <w:t>[1</w:t>
      </w:r>
      <w:r>
        <w:rPr>
          <w:rFonts w:hint="eastAsia" w:ascii="Times New Roman" w:hAnsi="Times New Roman" w:eastAsiaTheme="minorEastAsia"/>
          <w:color w:val="auto"/>
          <w:sz w:val="21"/>
          <w:szCs w:val="21"/>
          <w:vertAlign w:val="superscript"/>
          <w:lang w:eastAsia="zh-CN"/>
        </w:rPr>
        <w:t>-6</w:t>
      </w:r>
      <w:r>
        <w:rPr>
          <w:rFonts w:ascii="Times New Roman" w:hAnsi="Times New Roman"/>
          <w:color w:val="auto"/>
          <w:sz w:val="21"/>
          <w:szCs w:val="21"/>
          <w:vertAlign w:val="superscript"/>
        </w:rPr>
        <w:t>]</w:t>
      </w:r>
      <w:r>
        <w:rPr>
          <w:rFonts w:ascii="Times New Roman" w:hAnsi="Times New Roman"/>
          <w:color w:val="auto"/>
          <w:sz w:val="21"/>
          <w:szCs w:val="21"/>
        </w:rPr>
        <w:t>.</w:t>
      </w:r>
    </w:p>
    <w:p w14:paraId="1B25352C">
      <w:pPr>
        <w:pStyle w:val="34"/>
        <w:spacing w:line="240" w:lineRule="atLeast"/>
        <w:ind w:left="0" w:firstLine="420" w:firstLineChars="200"/>
        <w:rPr>
          <w:rFonts w:ascii="Times New Roman" w:hAnsi="Times New Roman"/>
          <w:strike/>
          <w:color w:val="auto"/>
          <w:sz w:val="21"/>
          <w:szCs w:val="21"/>
        </w:rPr>
      </w:pPr>
      <w:r>
        <w:rPr>
          <w:rFonts w:ascii="Times New Roman" w:hAnsi="Times New Roman"/>
          <w:color w:val="auto"/>
          <w:sz w:val="21"/>
          <w:szCs w:val="21"/>
        </w:rPr>
        <w:t>In recent years, extreme rainfall events and basin-scale flood processes have become increasingly frequent, and flood peaks, flood volumes, and flood encounter relationships have become more complex</w:t>
      </w:r>
      <w:r>
        <w:rPr>
          <w:rFonts w:ascii="Times New Roman" w:hAnsi="Times New Roman"/>
          <w:color w:val="auto"/>
          <w:sz w:val="21"/>
          <w:szCs w:val="21"/>
          <w:vertAlign w:val="superscript"/>
        </w:rPr>
        <w:t>[</w:t>
      </w:r>
      <w:r>
        <w:rPr>
          <w:rFonts w:hint="eastAsia" w:ascii="Times New Roman" w:hAnsi="Times New Roman" w:eastAsiaTheme="minorEastAsia"/>
          <w:color w:val="auto"/>
          <w:sz w:val="21"/>
          <w:szCs w:val="21"/>
          <w:vertAlign w:val="superscript"/>
          <w:lang w:eastAsia="zh-CN"/>
        </w:rPr>
        <w:t>7-11</w:t>
      </w:r>
      <w:r>
        <w:rPr>
          <w:rFonts w:ascii="Times New Roman" w:hAnsi="Times New Roman"/>
          <w:color w:val="auto"/>
          <w:sz w:val="21"/>
          <w:szCs w:val="21"/>
          <w:vertAlign w:val="superscript"/>
        </w:rPr>
        <w:t>]</w:t>
      </w:r>
      <w:r>
        <w:rPr>
          <w:rFonts w:ascii="Times New Roman" w:hAnsi="Times New Roman"/>
          <w:color w:val="auto"/>
          <w:sz w:val="21"/>
          <w:szCs w:val="21"/>
        </w:rPr>
        <w:t>. Studies on design-flood estimation during the operation period, variations in the composition of inflow flood peaks, and Meiyu-rainfall encounters with TGR inflows have shown that the hydrological conditions faced by TGR flood-control operation are changing and becoming more uncertain</w:t>
      </w:r>
      <w:r>
        <w:rPr>
          <w:rFonts w:ascii="Times New Roman" w:hAnsi="Times New Roman"/>
          <w:color w:val="auto"/>
          <w:sz w:val="21"/>
          <w:szCs w:val="21"/>
          <w:vertAlign w:val="superscript"/>
        </w:rPr>
        <w:t>[7</w:t>
      </w:r>
      <w:r>
        <w:rPr>
          <w:rFonts w:hint="eastAsia" w:ascii="Times New Roman" w:hAnsi="Times New Roman" w:eastAsia="宋体"/>
          <w:color w:val="auto"/>
          <w:sz w:val="21"/>
          <w:szCs w:val="21"/>
          <w:vertAlign w:val="superscript"/>
          <w:lang w:eastAsia="zh-CN"/>
        </w:rPr>
        <w:t>-</w:t>
      </w:r>
      <w:r>
        <w:rPr>
          <w:rFonts w:ascii="Times New Roman" w:hAnsi="Times New Roman"/>
          <w:color w:val="auto"/>
          <w:sz w:val="21"/>
          <w:szCs w:val="21"/>
          <w:vertAlign w:val="superscript"/>
        </w:rPr>
        <w:t>8,10,12]</w:t>
      </w:r>
      <w:r>
        <w:rPr>
          <w:rFonts w:ascii="Times New Roman" w:hAnsi="Times New Roman"/>
          <w:color w:val="auto"/>
          <w:sz w:val="21"/>
          <w:szCs w:val="21"/>
        </w:rPr>
        <w:t>.Meanwhile, upstream cascade projects such as Wudongde, Baihetan, Xiluodu, and Xiangjiaba have been put into operation successively, and the joint operation capacity of the upper Yangtze River cascade reservoirs has been substantially enhanced</w:t>
      </w:r>
      <w:r>
        <w:rPr>
          <w:rFonts w:ascii="Times New Roman" w:hAnsi="Times New Roman"/>
          <w:color w:val="auto"/>
          <w:sz w:val="21"/>
          <w:szCs w:val="21"/>
          <w:vertAlign w:val="superscript"/>
        </w:rPr>
        <w:t>[13-18]</w:t>
      </w:r>
      <w:r>
        <w:rPr>
          <w:rFonts w:ascii="Times New Roman" w:hAnsi="Times New Roman"/>
          <w:color w:val="auto"/>
          <w:sz w:val="21"/>
          <w:szCs w:val="21"/>
        </w:rPr>
        <w:t>. Under these changes, the TGR has gradually shifted from a relatively independent terminal flood-interception project to a key control node in the joint operation system of the upper Yangtze River cascade reservoirs. Accordingly, the determination of its flood-season operating water level is no longer a single-reservoir water-level control problem, but is closely associated with inflow composition, upstream peak-shaving effects, downstream channel conveyance capacity, and the basin-wide flood-control pattern</w:t>
      </w:r>
      <w:r>
        <w:rPr>
          <w:rFonts w:ascii="Times New Roman" w:hAnsi="Times New Roman"/>
          <w:color w:val="auto"/>
          <w:sz w:val="21"/>
          <w:szCs w:val="21"/>
          <w:vertAlign w:val="superscript"/>
        </w:rPr>
        <w:t>[5,17,19-21]</w:t>
      </w:r>
      <w:r>
        <w:rPr>
          <w:rFonts w:ascii="Times New Roman" w:hAnsi="Times New Roman"/>
          <w:color w:val="auto"/>
          <w:sz w:val="21"/>
          <w:szCs w:val="21"/>
        </w:rPr>
        <w:t>.</w:t>
      </w:r>
      <w:r>
        <w:rPr>
          <w:rFonts w:hint="eastAsia" w:ascii="Times New Roman" w:hAnsi="Times New Roman" w:eastAsiaTheme="minorEastAsia"/>
          <w:color w:val="auto"/>
          <w:sz w:val="21"/>
          <w:szCs w:val="21"/>
          <w:lang w:eastAsia="zh-CN"/>
        </w:rPr>
        <w:t xml:space="preserve"> </w:t>
      </w:r>
    </w:p>
    <w:p w14:paraId="7D759200">
      <w:pPr>
        <w:pStyle w:val="34"/>
        <w:spacing w:line="240" w:lineRule="atLeast"/>
        <w:ind w:left="0" w:firstLine="420" w:firstLineChars="200"/>
        <w:rPr>
          <w:rFonts w:ascii="Times New Roman" w:hAnsi="Times New Roman" w:eastAsiaTheme="minorEastAsia"/>
          <w:color w:val="auto"/>
          <w:sz w:val="21"/>
          <w:szCs w:val="21"/>
          <w:lang w:eastAsia="zh-CN"/>
        </w:rPr>
      </w:pPr>
      <w:r>
        <w:rPr>
          <w:rFonts w:ascii="Times New Roman" w:hAnsi="Times New Roman"/>
          <w:color w:val="auto"/>
          <w:sz w:val="21"/>
          <w:szCs w:val="21"/>
        </w:rPr>
        <w:t>Previous studies and operational practices have provided an important basis for flood-season water-level control of the TGR. Since the operation of the project, its flood-season operating rules have been continuously improved through revisions of dispatching regulations, annual operation plans, and practical flood-control operation. Reservoir-system analysis and optimization studies indicate that reservoir operating water levels should be coordinated among flood-control safety, water supply, hydropower generation, navigation, and other comprehensive utilization objectives</w:t>
      </w:r>
      <w:r>
        <w:rPr>
          <w:rFonts w:ascii="Times New Roman" w:hAnsi="Times New Roman"/>
          <w:color w:val="auto"/>
          <w:sz w:val="21"/>
          <w:szCs w:val="21"/>
          <w:vertAlign w:val="superscript"/>
        </w:rPr>
        <w:t>[22-25]</w:t>
      </w:r>
      <w:r>
        <w:rPr>
          <w:rFonts w:ascii="Times New Roman" w:hAnsi="Times New Roman"/>
          <w:color w:val="auto"/>
          <w:sz w:val="21"/>
          <w:szCs w:val="21"/>
        </w:rPr>
        <w:t>. On this basis, dynamic flood-limited water-level theory further suggests that the flood-limited water level is not an absolutely fixed control value, but a dispatching parameter that can be adjusted under the combined constraints of forecast accuracy, operational capability, acceptable risk, and comprehensive utilization objectives</w:t>
      </w:r>
      <w:r>
        <w:rPr>
          <w:rFonts w:ascii="Times New Roman" w:hAnsi="Times New Roman"/>
          <w:color w:val="auto"/>
          <w:sz w:val="21"/>
          <w:szCs w:val="21"/>
          <w:vertAlign w:val="superscript"/>
        </w:rPr>
        <w:t>[26-32]</w:t>
      </w:r>
      <w:r>
        <w:rPr>
          <w:rFonts w:ascii="Times New Roman" w:hAnsi="Times New Roman"/>
          <w:color w:val="auto"/>
          <w:sz w:val="21"/>
          <w:szCs w:val="21"/>
        </w:rPr>
        <w:t>. Existing work has mainly focused on dynamic control theory, identification of control domains, risk-benefit analysis of raising the flood-limited water level, and optimization of operating water levels under staged, segmented, and coordinated cascade regulation</w:t>
      </w:r>
      <w:r>
        <w:rPr>
          <w:rFonts w:ascii="Times New Roman" w:hAnsi="Times New Roman"/>
          <w:color w:val="auto"/>
          <w:sz w:val="21"/>
          <w:szCs w:val="21"/>
          <w:vertAlign w:val="superscript"/>
        </w:rPr>
        <w:t>[14-16,18,30-34]</w:t>
      </w:r>
      <w:r>
        <w:rPr>
          <w:rFonts w:ascii="Times New Roman" w:hAnsi="Times New Roman"/>
          <w:color w:val="auto"/>
          <w:sz w:val="21"/>
          <w:szCs w:val="21"/>
        </w:rPr>
        <w:t xml:space="preserve">. These studies suggest that, when reliable forecast information, </w:t>
      </w:r>
      <w:r>
        <w:rPr>
          <w:rFonts w:hint="eastAsia" w:ascii="Times New Roman" w:hAnsi="Times New Roman"/>
          <w:color w:val="auto"/>
          <w:sz w:val="21"/>
          <w:szCs w:val="21"/>
        </w:rPr>
        <w:t>prescribed release limit</w:t>
      </w:r>
      <w:r>
        <w:rPr>
          <w:rFonts w:ascii="Times New Roman" w:hAnsi="Times New Roman"/>
          <w:color w:val="auto"/>
          <w:sz w:val="21"/>
          <w:szCs w:val="21"/>
        </w:rPr>
        <w:t xml:space="preserve">, and coordinated cascade operation are available, there is room to optimize the operating water level during the </w:t>
      </w:r>
      <w:r>
        <w:rPr>
          <w:rFonts w:hint="eastAsia" w:ascii="Times New Roman" w:hAnsi="Times New Roman" w:eastAsia="宋体"/>
          <w:color w:val="auto"/>
          <w:sz w:val="21"/>
          <w:szCs w:val="21"/>
          <w:lang w:eastAsia="zh-CN"/>
        </w:rPr>
        <w:t>flood-season</w:t>
      </w:r>
      <w:r>
        <w:rPr>
          <w:rFonts w:ascii="Times New Roman" w:hAnsi="Times New Roman"/>
          <w:color w:val="auto"/>
          <w:sz w:val="21"/>
          <w:szCs w:val="21"/>
        </w:rPr>
        <w:t>. However, for a mega-reservoir such as the TGR that plays a basin-scale flood-control role, whether adjustment of the operating water level is truly beneficial to basin flood-control safety cannot be judged only from comprehensive utilization benefits or a single dam-front water-level indicator. It must also be evaluated under specific project-operation rules, downstream safe-release constraints, and high-water-level responses within the reservoir area</w:t>
      </w:r>
      <w:r>
        <w:rPr>
          <w:rFonts w:ascii="Times New Roman" w:hAnsi="Times New Roman"/>
          <w:color w:val="auto"/>
          <w:sz w:val="21"/>
          <w:szCs w:val="21"/>
          <w:vertAlign w:val="superscript"/>
        </w:rPr>
        <w:t>[1,5,19-21]</w:t>
      </w:r>
      <w:r>
        <w:rPr>
          <w:rFonts w:ascii="Times New Roman" w:hAnsi="Times New Roman"/>
          <w:color w:val="auto"/>
          <w:sz w:val="21"/>
          <w:szCs w:val="21"/>
        </w:rPr>
        <w:t>. Therefore, while recognizing the important progress achieved in existing studies and operational practice, it remains useful to identify a conservative reference boundary for the intrinsic flood-regulation capacity of the Three Gorges Project under conditions that exclude additional upstream peak attenuation and anticipatory pre-release.</w:t>
      </w:r>
    </w:p>
    <w:p w14:paraId="226F12F9">
      <w:pPr>
        <w:pStyle w:val="34"/>
        <w:spacing w:line="240" w:lineRule="atLeast"/>
        <w:ind w:left="0" w:firstLine="420" w:firstLineChars="200"/>
        <w:rPr>
          <w:rFonts w:ascii="Times New Roman" w:hAnsi="Times New Roman"/>
          <w:color w:val="auto"/>
          <w:sz w:val="21"/>
          <w:szCs w:val="21"/>
        </w:rPr>
      </w:pPr>
      <w:r>
        <w:rPr>
          <w:rFonts w:ascii="Times New Roman" w:hAnsi="Times New Roman"/>
          <w:color w:val="auto"/>
          <w:sz w:val="21"/>
          <w:szCs w:val="21"/>
        </w:rPr>
        <w:t>A substantial body of research has also examined the influence of TGR operation on basin-scale and downstream flood conditions</w:t>
      </w:r>
      <w:r>
        <w:rPr>
          <w:rFonts w:hint="eastAsia" w:ascii="Times New Roman" w:hAnsi="Times New Roman" w:eastAsiaTheme="minorEastAsia"/>
          <w:color w:val="auto"/>
          <w:sz w:val="21"/>
          <w:szCs w:val="21"/>
          <w:lang w:eastAsia="zh-CN"/>
        </w:rPr>
        <w:t>.</w:t>
      </w:r>
      <w:r>
        <w:rPr>
          <w:rFonts w:ascii="Times New Roman" w:hAnsi="Times New Roman"/>
          <w:color w:val="auto"/>
          <w:sz w:val="21"/>
          <w:szCs w:val="21"/>
        </w:rPr>
        <w:t xml:space="preserve"> On the one hand, flood-season operation of the TGR is affected not only by flood-peak control at the dam front, but also by flood volume, hydrograph shape, mainstream-tributary encounters, and the reshaping of inflow processes by upstream cascade regulation</w:t>
      </w:r>
      <w:r>
        <w:rPr>
          <w:rFonts w:ascii="Times New Roman" w:hAnsi="Times New Roman"/>
          <w:color w:val="auto"/>
          <w:sz w:val="21"/>
          <w:szCs w:val="21"/>
          <w:vertAlign w:val="superscript"/>
        </w:rPr>
        <w:t>[7,8,10,12,17,35]</w:t>
      </w:r>
      <w:r>
        <w:rPr>
          <w:rFonts w:ascii="Times New Roman" w:hAnsi="Times New Roman"/>
          <w:color w:val="auto"/>
          <w:sz w:val="21"/>
          <w:szCs w:val="21"/>
        </w:rPr>
        <w:t>. On the other hand, the effects of TGR operation may propagate to larger spatial scales through river-lake interactions between Dongting Lake and the Yangtze River, water-level processes at downstream control stations, changes in channel conveyance conditions, and upstream-downstream water-safety feedbacks in the Yangtze River Basin</w:t>
      </w:r>
      <w:r>
        <w:rPr>
          <w:rFonts w:ascii="Times New Roman" w:hAnsi="Times New Roman"/>
          <w:color w:val="auto"/>
          <w:sz w:val="21"/>
          <w:szCs w:val="21"/>
          <w:vertAlign w:val="superscript"/>
        </w:rPr>
        <w:t>[11,20,36-39]</w:t>
      </w:r>
      <w:r>
        <w:rPr>
          <w:rFonts w:ascii="Times New Roman" w:hAnsi="Times New Roman"/>
          <w:color w:val="auto"/>
          <w:sz w:val="21"/>
          <w:szCs w:val="21"/>
        </w:rPr>
        <w:t>.</w:t>
      </w:r>
      <w:r>
        <w:rPr>
          <w:rFonts w:ascii="Times New Roman" w:hAnsi="Times New Roman"/>
          <w:strike/>
          <w:color w:val="auto"/>
          <w:sz w:val="21"/>
          <w:szCs w:val="21"/>
        </w:rPr>
        <w:t xml:space="preserve"> </w:t>
      </w:r>
      <w:r>
        <w:rPr>
          <w:rFonts w:ascii="Times New Roman" w:hAnsi="Times New Roman"/>
          <w:color w:val="auto"/>
          <w:sz w:val="21"/>
          <w:szCs w:val="21"/>
        </w:rPr>
        <w:t>These studies have clarified the close connection between TGR operation and basin flood conditions. The present study does not intend to suggest that this issue has not been studied. Rather, under the specific conservative boundary scenario considered here, the response relationship among the initial operating water level, maximum regulated water level at the dam front, water levels at key sections in the reservoir area, excess flood volume, and downstream high-discharge pressure still needs further quantitative clarification</w:t>
      </w:r>
      <w:r>
        <w:rPr>
          <w:rFonts w:ascii="Times New Roman" w:hAnsi="Times New Roman"/>
          <w:color w:val="auto"/>
          <w:sz w:val="21"/>
          <w:szCs w:val="21"/>
          <w:vertAlign w:val="superscript"/>
        </w:rPr>
        <w:t>[5,19-21]</w:t>
      </w:r>
      <w:r>
        <w:rPr>
          <w:rFonts w:ascii="Times New Roman" w:hAnsi="Times New Roman"/>
          <w:color w:val="auto"/>
          <w:sz w:val="21"/>
          <w:szCs w:val="21"/>
        </w:rPr>
        <w:t>.</w:t>
      </w:r>
    </w:p>
    <w:p w14:paraId="1A378F6F">
      <w:pPr>
        <w:pStyle w:val="34"/>
        <w:spacing w:line="240" w:lineRule="atLeast"/>
        <w:ind w:left="0" w:firstLine="420" w:firstLineChars="200"/>
        <w:rPr>
          <w:rFonts w:ascii="Times New Roman" w:hAnsi="Times New Roman"/>
          <w:color w:val="auto"/>
          <w:sz w:val="21"/>
          <w:szCs w:val="21"/>
        </w:rPr>
      </w:pPr>
      <w:r>
        <w:rPr>
          <w:rFonts w:ascii="Times New Roman" w:hAnsi="Times New Roman"/>
          <w:color w:val="auto"/>
          <w:sz w:val="21"/>
          <w:szCs w:val="21"/>
        </w:rPr>
        <w:t xml:space="preserve">Reliable evaluation of this issue further depends on accurate hydrodynamic simulation of the TGR area. Unlike conventional </w:t>
      </w:r>
      <w:r>
        <w:rPr>
          <w:rFonts w:hint="eastAsia" w:ascii="Times New Roman" w:hAnsi="Times New Roman"/>
          <w:color w:val="auto"/>
          <w:sz w:val="21"/>
          <w:szCs w:val="21"/>
        </w:rPr>
        <w:t>lacustrine reservoir</w:t>
      </w:r>
      <w:r>
        <w:rPr>
          <w:rFonts w:ascii="Times New Roman" w:hAnsi="Times New Roman"/>
          <w:color w:val="auto"/>
          <w:sz w:val="21"/>
          <w:szCs w:val="21"/>
        </w:rPr>
        <w:t xml:space="preserve">s, the TGR is a typical </w:t>
      </w:r>
      <w:r>
        <w:rPr>
          <w:rFonts w:hint="eastAsia" w:ascii="Times New Roman" w:hAnsi="Times New Roman" w:eastAsia="宋体"/>
          <w:color w:val="auto"/>
          <w:sz w:val="21"/>
          <w:szCs w:val="21"/>
          <w:lang w:eastAsia="zh-CN"/>
        </w:rPr>
        <w:t>riverine reservoir</w:t>
      </w:r>
      <w:r>
        <w:rPr>
          <w:rFonts w:ascii="Times New Roman" w:hAnsi="Times New Roman"/>
          <w:color w:val="auto"/>
          <w:sz w:val="21"/>
          <w:szCs w:val="21"/>
        </w:rPr>
        <w:t xml:space="preserve"> characterized by long-distance backwater effects, tributary blocking, uneven storage distribution along the reservoir, and uncontrolled interval inflow</w:t>
      </w:r>
      <w:r>
        <w:rPr>
          <w:rFonts w:hint="eastAsia" w:ascii="宋体" w:hAnsi="宋体" w:eastAsia="宋体" w:cs="宋体"/>
          <w:color w:val="auto"/>
          <w:sz w:val="21"/>
          <w:szCs w:val="21"/>
          <w:lang w:eastAsia="zh-CN"/>
        </w:rPr>
        <w:t>,</w:t>
      </w:r>
      <w:r>
        <w:rPr>
          <w:rFonts w:ascii="Times New Roman" w:hAnsi="Times New Roman"/>
          <w:color w:val="auto"/>
          <w:sz w:val="21"/>
          <w:szCs w:val="21"/>
        </w:rPr>
        <w:t xml:space="preserve"> and sediment-related changes in downstream river conditions</w:t>
      </w:r>
      <w:r>
        <w:rPr>
          <w:rFonts w:ascii="Times New Roman" w:hAnsi="Times New Roman"/>
          <w:color w:val="auto"/>
          <w:sz w:val="21"/>
          <w:szCs w:val="21"/>
          <w:vertAlign w:val="superscript"/>
        </w:rPr>
        <w:t>[2</w:t>
      </w:r>
      <w:r>
        <w:rPr>
          <w:rFonts w:hint="eastAsia" w:ascii="Times New Roman" w:hAnsi="Times New Roman" w:eastAsiaTheme="minorEastAsia"/>
          <w:color w:val="auto"/>
          <w:sz w:val="21"/>
          <w:szCs w:val="21"/>
          <w:vertAlign w:val="superscript"/>
          <w:lang w:eastAsia="zh-CN"/>
        </w:rPr>
        <w:t>-</w:t>
      </w:r>
      <w:r>
        <w:rPr>
          <w:rFonts w:ascii="Times New Roman" w:hAnsi="Times New Roman"/>
          <w:color w:val="auto"/>
          <w:sz w:val="21"/>
          <w:szCs w:val="21"/>
          <w:vertAlign w:val="superscript"/>
        </w:rPr>
        <w:t>3,40]</w:t>
      </w:r>
      <w:r>
        <w:rPr>
          <w:rFonts w:ascii="Times New Roman" w:hAnsi="Times New Roman"/>
          <w:color w:val="auto"/>
          <w:sz w:val="21"/>
          <w:szCs w:val="21"/>
        </w:rPr>
        <w:t>. As a result, evaluation of operating water levels cannot rely solely on single-point control at the dam front or simplified storage relationships, and instead requires more refined hydrodynamic modeling to represent longitudinal water-level processes, local high-water-level responses, and their links with flood regulation</w:t>
      </w:r>
      <w:r>
        <w:rPr>
          <w:rFonts w:ascii="Times New Roman" w:hAnsi="Times New Roman"/>
          <w:color w:val="auto"/>
          <w:sz w:val="21"/>
          <w:szCs w:val="21"/>
          <w:vertAlign w:val="superscript"/>
        </w:rPr>
        <w:t>[3,19,21,26,34]</w:t>
      </w:r>
      <w:r>
        <w:rPr>
          <w:rFonts w:ascii="Times New Roman" w:hAnsi="Times New Roman"/>
          <w:color w:val="auto"/>
          <w:sz w:val="21"/>
          <w:szCs w:val="21"/>
        </w:rPr>
        <w:t>. Previous studies have used one-dimensional or quasi-two-dimensional models to represent unsteady flow processes in the main stem and tributaries, and have improved simulation performance through refined cross sections, river-network coupling, parameter calibration, and treatment of interval inflow</w:t>
      </w:r>
      <w:r>
        <w:rPr>
          <w:rFonts w:ascii="Times New Roman" w:hAnsi="Times New Roman"/>
          <w:color w:val="auto"/>
          <w:sz w:val="21"/>
          <w:szCs w:val="21"/>
          <w:vertAlign w:val="superscript"/>
        </w:rPr>
        <w:t>[2</w:t>
      </w:r>
      <w:r>
        <w:rPr>
          <w:rFonts w:hint="eastAsia" w:ascii="Times New Roman" w:hAnsi="Times New Roman" w:eastAsiaTheme="minorEastAsia"/>
          <w:color w:val="auto"/>
          <w:sz w:val="21"/>
          <w:szCs w:val="21"/>
          <w:vertAlign w:val="superscript"/>
          <w:lang w:eastAsia="zh-CN"/>
        </w:rPr>
        <w:t>6</w:t>
      </w:r>
      <w:r>
        <w:rPr>
          <w:rFonts w:ascii="Times New Roman" w:hAnsi="Times New Roman"/>
          <w:color w:val="auto"/>
          <w:sz w:val="21"/>
          <w:szCs w:val="21"/>
          <w:vertAlign w:val="superscript"/>
        </w:rPr>
        <w:t>,</w:t>
      </w:r>
      <w:r>
        <w:rPr>
          <w:rFonts w:hint="eastAsia" w:ascii="Times New Roman" w:hAnsi="Times New Roman" w:eastAsiaTheme="minorEastAsia"/>
          <w:color w:val="auto"/>
          <w:sz w:val="21"/>
          <w:szCs w:val="21"/>
          <w:vertAlign w:val="superscript"/>
          <w:lang w:eastAsia="zh-CN"/>
        </w:rPr>
        <w:t>34</w:t>
      </w:r>
      <w:r>
        <w:rPr>
          <w:rFonts w:ascii="Times New Roman" w:hAnsi="Times New Roman"/>
          <w:color w:val="auto"/>
          <w:sz w:val="21"/>
          <w:szCs w:val="21"/>
          <w:vertAlign w:val="superscript"/>
        </w:rPr>
        <w:t>]</w:t>
      </w:r>
      <w:r>
        <w:rPr>
          <w:rFonts w:ascii="Times New Roman" w:hAnsi="Times New Roman"/>
          <w:color w:val="auto"/>
          <w:sz w:val="21"/>
          <w:szCs w:val="21"/>
        </w:rPr>
        <w:t xml:space="preserve">. These studies provide an important technical foundation for evaluating reservoir operation during the </w:t>
      </w:r>
      <w:r>
        <w:rPr>
          <w:rFonts w:hint="eastAsia" w:ascii="Times New Roman" w:hAnsi="Times New Roman" w:eastAsia="宋体"/>
          <w:color w:val="auto"/>
          <w:sz w:val="21"/>
          <w:szCs w:val="21"/>
          <w:lang w:eastAsia="zh-CN"/>
        </w:rPr>
        <w:t>flood-season</w:t>
      </w:r>
      <w:r>
        <w:rPr>
          <w:rFonts w:ascii="Times New Roman" w:hAnsi="Times New Roman"/>
          <w:color w:val="auto"/>
          <w:sz w:val="21"/>
          <w:szCs w:val="21"/>
        </w:rPr>
        <w:t xml:space="preserve">. However, under high-water operation in a </w:t>
      </w:r>
      <w:r>
        <w:rPr>
          <w:rFonts w:hint="eastAsia" w:ascii="Times New Roman" w:hAnsi="Times New Roman" w:eastAsia="宋体"/>
          <w:color w:val="auto"/>
          <w:sz w:val="21"/>
          <w:szCs w:val="21"/>
          <w:lang w:eastAsia="zh-CN"/>
        </w:rPr>
        <w:t>riverine reservoir</w:t>
      </w:r>
      <w:r>
        <w:rPr>
          <w:rFonts w:ascii="Times New Roman" w:hAnsi="Times New Roman"/>
          <w:color w:val="auto"/>
          <w:sz w:val="21"/>
          <w:szCs w:val="21"/>
        </w:rPr>
        <w:t>, several key issues still limit evaluation accuracy, including storage matching under long-distance backwater conditions, reconstruction of uncontrolled interval inflow during flood rising and recession stages, and simulation of water-level processes at critical sections</w:t>
      </w:r>
      <w:r>
        <w:rPr>
          <w:rFonts w:ascii="Times New Roman" w:hAnsi="Times New Roman"/>
          <w:color w:val="auto"/>
          <w:sz w:val="21"/>
          <w:szCs w:val="21"/>
          <w:vertAlign w:val="superscript"/>
        </w:rPr>
        <w:t>[3,2</w:t>
      </w:r>
      <w:r>
        <w:rPr>
          <w:rFonts w:hint="eastAsia" w:ascii="Times New Roman" w:hAnsi="Times New Roman" w:eastAsiaTheme="minorEastAsia"/>
          <w:color w:val="auto"/>
          <w:sz w:val="21"/>
          <w:szCs w:val="21"/>
          <w:vertAlign w:val="superscript"/>
          <w:lang w:eastAsia="zh-CN"/>
        </w:rPr>
        <w:t>6</w:t>
      </w:r>
      <w:r>
        <w:rPr>
          <w:rFonts w:ascii="Times New Roman" w:hAnsi="Times New Roman"/>
          <w:color w:val="auto"/>
          <w:sz w:val="21"/>
          <w:szCs w:val="21"/>
          <w:vertAlign w:val="superscript"/>
        </w:rPr>
        <w:t>,</w:t>
      </w:r>
      <w:r>
        <w:rPr>
          <w:rFonts w:hint="eastAsia" w:ascii="Times New Roman" w:hAnsi="Times New Roman" w:eastAsiaTheme="minorEastAsia"/>
          <w:color w:val="auto"/>
          <w:sz w:val="21"/>
          <w:szCs w:val="21"/>
          <w:vertAlign w:val="superscript"/>
          <w:lang w:eastAsia="zh-CN"/>
        </w:rPr>
        <w:t>34</w:t>
      </w:r>
      <w:r>
        <w:rPr>
          <w:rFonts w:ascii="Times New Roman" w:hAnsi="Times New Roman"/>
          <w:color w:val="auto"/>
          <w:sz w:val="21"/>
          <w:szCs w:val="21"/>
          <w:vertAlign w:val="superscript"/>
        </w:rPr>
        <w:t>]</w:t>
      </w:r>
      <w:r>
        <w:rPr>
          <w:rFonts w:ascii="Times New Roman" w:hAnsi="Times New Roman"/>
          <w:color w:val="auto"/>
          <w:sz w:val="21"/>
          <w:szCs w:val="21"/>
        </w:rPr>
        <w:t>.</w:t>
      </w:r>
    </w:p>
    <w:p w14:paraId="608658E8">
      <w:pPr>
        <w:pStyle w:val="34"/>
        <w:spacing w:line="240" w:lineRule="atLeast"/>
        <w:ind w:left="0" w:firstLine="420" w:firstLineChars="200"/>
        <w:rPr>
          <w:rFonts w:ascii="Times New Roman" w:hAnsi="Times New Roman"/>
          <w:color w:val="auto"/>
          <w:sz w:val="21"/>
          <w:szCs w:val="21"/>
        </w:rPr>
      </w:pPr>
      <w:r>
        <w:rPr>
          <w:rFonts w:ascii="Times New Roman" w:hAnsi="Times New Roman"/>
          <w:color w:val="auto"/>
          <w:sz w:val="21"/>
          <w:szCs w:val="21"/>
        </w:rPr>
        <w:t xml:space="preserve">Although the above studies provide an important basis for optimizing the flood-season operating water level of the Three Gorges Reservoir, three limitations remain from the perspective of identifying the flood-control capacity boundary of the Three Gorges Project itself. First, most existing studies have discussed </w:t>
      </w:r>
      <w:r>
        <w:rPr>
          <w:rFonts w:hint="eastAsia" w:ascii="Times New Roman" w:hAnsi="Times New Roman" w:eastAsia="宋体"/>
          <w:color w:val="auto"/>
          <w:sz w:val="21"/>
          <w:szCs w:val="21"/>
          <w:lang w:eastAsia="zh-CN"/>
        </w:rPr>
        <w:t>flood-season operating water level</w:t>
      </w:r>
      <w:r>
        <w:rPr>
          <w:rFonts w:ascii="Times New Roman" w:hAnsi="Times New Roman"/>
          <w:color w:val="auto"/>
          <w:sz w:val="21"/>
          <w:szCs w:val="21"/>
        </w:rPr>
        <w:t xml:space="preserve"> from the perspectives of joint-operation benefits, dynamic control, or comprehensive utilization objectives. However, the intrinsic flood-regulation capacity boundary of the Three Gorges Project under conditions that exclude forecast-based pre-release and additional upstream flood-peak attenuation has not been sufficiently identified. As a result, it remains difficult to answer the question of “to what level the operating water level can be controlled under conservative conditions and where the associated risk boundary lies”</w:t>
      </w:r>
      <w:r>
        <w:rPr>
          <w:rFonts w:ascii="Times New Roman" w:hAnsi="Times New Roman"/>
          <w:color w:val="auto"/>
          <w:sz w:val="21"/>
          <w:szCs w:val="21"/>
          <w:vertAlign w:val="superscript"/>
        </w:rPr>
        <w:t>[14-19,21,26,32,34]</w:t>
      </w:r>
      <w:r>
        <w:rPr>
          <w:rFonts w:ascii="Times New Roman" w:hAnsi="Times New Roman"/>
          <w:color w:val="auto"/>
          <w:sz w:val="21"/>
          <w:szCs w:val="21"/>
        </w:rPr>
        <w:t>.</w:t>
      </w:r>
    </w:p>
    <w:p w14:paraId="1D0DB658">
      <w:pPr>
        <w:pStyle w:val="34"/>
        <w:spacing w:line="240" w:lineRule="atLeast"/>
        <w:ind w:left="0" w:firstLine="420" w:firstLineChars="200"/>
        <w:rPr>
          <w:rFonts w:ascii="Times New Roman" w:hAnsi="Times New Roman"/>
          <w:color w:val="auto"/>
          <w:sz w:val="21"/>
          <w:szCs w:val="21"/>
        </w:rPr>
      </w:pPr>
      <w:r>
        <w:rPr>
          <w:rFonts w:ascii="Times New Roman" w:hAnsi="Times New Roman"/>
          <w:color w:val="auto"/>
          <w:sz w:val="21"/>
          <w:szCs w:val="21"/>
        </w:rPr>
        <w:t>Second, existing studies and operational practices have greatly improved the understanding of flood-season operation of the TGR. Building on this foundation, the present study focuses on quantifying the response chain linking the initial operating water level, the maximum regulated water level at the dam front, the excess flood volume, and the boundary of the project’s intrinsic flood-regulation capacity</w:t>
      </w:r>
      <w:r>
        <w:rPr>
          <w:rFonts w:hint="eastAsia" w:ascii="Times New Roman" w:hAnsi="Times New Roman" w:eastAsiaTheme="minorEastAsia"/>
          <w:color w:val="auto"/>
          <w:sz w:val="21"/>
          <w:szCs w:val="21"/>
          <w:lang w:eastAsia="zh-CN"/>
        </w:rPr>
        <w:t xml:space="preserve"> </w:t>
      </w:r>
      <w:r>
        <w:rPr>
          <w:rFonts w:ascii="Times New Roman" w:hAnsi="Times New Roman"/>
          <w:color w:val="auto"/>
          <w:sz w:val="21"/>
          <w:szCs w:val="21"/>
        </w:rPr>
        <w:t xml:space="preserve">under the specified conservative scenario. This analysis can provide an additional reference for comprehensive judgments from the perspective of </w:t>
      </w:r>
      <w:r>
        <w:rPr>
          <w:rFonts w:hint="eastAsia" w:ascii="Times New Roman" w:hAnsi="Times New Roman" w:eastAsiaTheme="minorEastAsia"/>
          <w:color w:val="auto"/>
          <w:sz w:val="21"/>
          <w:szCs w:val="21"/>
          <w:lang w:eastAsia="zh-CN"/>
        </w:rPr>
        <w:t xml:space="preserve">TGR </w:t>
      </w:r>
      <w:r>
        <w:rPr>
          <w:rFonts w:ascii="Times New Roman" w:hAnsi="Times New Roman"/>
          <w:color w:val="auto"/>
          <w:sz w:val="21"/>
          <w:szCs w:val="21"/>
          <w:vertAlign w:val="superscript"/>
        </w:rPr>
        <w:t>[5,10,11,19-21,36,39]</w:t>
      </w:r>
      <w:r>
        <w:rPr>
          <w:rFonts w:ascii="Times New Roman" w:hAnsi="Times New Roman"/>
          <w:color w:val="auto"/>
          <w:sz w:val="21"/>
          <w:szCs w:val="21"/>
        </w:rPr>
        <w:t>.</w:t>
      </w:r>
    </w:p>
    <w:p w14:paraId="3218FD53">
      <w:pPr>
        <w:pStyle w:val="34"/>
        <w:spacing w:line="240" w:lineRule="atLeast"/>
        <w:ind w:left="0" w:firstLine="420" w:firstLineChars="200"/>
        <w:rPr>
          <w:rFonts w:ascii="Times New Roman" w:hAnsi="Times New Roman" w:eastAsiaTheme="minorEastAsia"/>
          <w:color w:val="auto"/>
          <w:sz w:val="21"/>
          <w:szCs w:val="21"/>
          <w:lang w:eastAsia="zh-CN"/>
        </w:rPr>
      </w:pPr>
      <w:r>
        <w:rPr>
          <w:rFonts w:ascii="Times New Roman" w:hAnsi="Times New Roman"/>
          <w:color w:val="auto"/>
          <w:sz w:val="21"/>
          <w:szCs w:val="21"/>
        </w:rPr>
        <w:t xml:space="preserve">Third, for the Three Gorges Reservoir area, which is a typical </w:t>
      </w:r>
      <w:r>
        <w:rPr>
          <w:rFonts w:hint="eastAsia" w:ascii="Times New Roman" w:hAnsi="Times New Roman" w:eastAsia="宋体"/>
          <w:color w:val="auto"/>
          <w:sz w:val="21"/>
          <w:szCs w:val="21"/>
          <w:lang w:eastAsia="zh-CN"/>
        </w:rPr>
        <w:t>riverine reservoir</w:t>
      </w:r>
      <w:r>
        <w:rPr>
          <w:rFonts w:ascii="Times New Roman" w:hAnsi="Times New Roman"/>
          <w:color w:val="auto"/>
          <w:sz w:val="21"/>
          <w:szCs w:val="21"/>
        </w:rPr>
        <w:t xml:space="preserve">, key issues such as long-distance backwater effects, inflows from uncontrolled intervening catchments, and storage-capacity matching have not been fully addressed. This constrains the simulation accuracy during high-water-level periods and the identification of risks in locally sensitive river reaches </w:t>
      </w:r>
      <w:r>
        <w:rPr>
          <w:rFonts w:ascii="Times New Roman" w:hAnsi="Times New Roman"/>
          <w:color w:val="auto"/>
          <w:sz w:val="21"/>
          <w:szCs w:val="21"/>
          <w:vertAlign w:val="superscript"/>
        </w:rPr>
        <w:t>[3,26,34,38,40]</w:t>
      </w:r>
      <w:r>
        <w:rPr>
          <w:rFonts w:ascii="Times New Roman" w:hAnsi="Times New Roman"/>
          <w:color w:val="auto"/>
          <w:sz w:val="21"/>
          <w:szCs w:val="21"/>
        </w:rPr>
        <w:t>. Therefore, on the basis of a clearly defined research scope, it is necessary to reassess the flood-season operating water-level boundary of the Three Gorges Reservoir and its flood-control safety effects from the perspective of the project’s intrinsic flood-regulation capacity.</w:t>
      </w:r>
    </w:p>
    <w:p w14:paraId="03BB2B34">
      <w:pPr>
        <w:pStyle w:val="34"/>
        <w:spacing w:line="240" w:lineRule="atLeast"/>
        <w:ind w:left="0" w:firstLine="420" w:firstLineChars="200"/>
        <w:rPr>
          <w:rFonts w:ascii="Times New Roman" w:hAnsi="Times New Roman"/>
          <w:color w:val="auto"/>
          <w:sz w:val="21"/>
          <w:szCs w:val="21"/>
        </w:rPr>
      </w:pPr>
      <w:r>
        <w:rPr>
          <w:rFonts w:ascii="Times New Roman" w:hAnsi="Times New Roman"/>
          <w:color w:val="auto"/>
          <w:sz w:val="21"/>
          <w:szCs w:val="21"/>
        </w:rPr>
        <w:t xml:space="preserve">Accordingly, this study focuses on the intrinsic flood-regulation capacity boundary of the Three Gorges Project under conservative conditions that exclude joint operation with upstream cascade reservoirs and forecast-based pre-release. To address the insufficient representation of high-water-level processes in a </w:t>
      </w:r>
      <w:r>
        <w:rPr>
          <w:rFonts w:hint="eastAsia" w:ascii="Times New Roman" w:hAnsi="Times New Roman" w:eastAsia="宋体"/>
          <w:color w:val="auto"/>
          <w:sz w:val="21"/>
          <w:szCs w:val="21"/>
          <w:lang w:eastAsia="zh-CN"/>
        </w:rPr>
        <w:t>riverine reservoir</w:t>
      </w:r>
      <w:r>
        <w:rPr>
          <w:rFonts w:ascii="Times New Roman" w:hAnsi="Times New Roman"/>
          <w:color w:val="auto"/>
          <w:sz w:val="21"/>
          <w:szCs w:val="21"/>
        </w:rPr>
        <w:t>, a one-dimensional unsteady-flow hydrodynamic model of the Three Gorges Reservoir area is developed and optimized using segmented storage-capacity matching and inversion of uncontrolled interval inflow. To address the lack of systematic analysis of the flood-control safety response chain, typical historical floods and design floods with different frequencies are combined to examine the responses of the maximum regulated water level and excess flood volume under different initial operating water levels and release constraints. To clarify the intrinsic flood-regulation boundary of the project, the key threshold of the flood-season operating water level is identified under prescribed conservative operation rules. The findings provide a safety-boundary reference for subsequent studies on cascade joint operation, forecast-based pre-release, and dynamic water-level control.</w:t>
      </w:r>
    </w:p>
    <w:p w14:paraId="3E751965">
      <w:pPr>
        <w:spacing w:line="240" w:lineRule="auto"/>
        <w:ind w:firstLine="400" w:firstLineChars="200"/>
        <w:jc w:val="left"/>
        <w:rPr>
          <w:rFonts w:ascii="Times New Roman" w:hAnsi="Times New Roman" w:eastAsia="Times New Roman"/>
          <w:b/>
          <w:snapToGrid w:val="0"/>
          <w:color w:val="auto"/>
          <w:sz w:val="24"/>
          <w:szCs w:val="22"/>
          <w:lang w:bidi="en-US"/>
        </w:rPr>
      </w:pPr>
      <w:r>
        <w:rPr>
          <w:rFonts w:ascii="Times New Roman" w:hAnsi="Times New Roman"/>
          <w:color w:val="auto"/>
        </w:rPr>
        <w:br w:type="page"/>
      </w:r>
    </w:p>
    <w:p w14:paraId="2D5C17AD">
      <w:pPr>
        <w:pStyle w:val="48"/>
        <w:ind w:left="0"/>
        <w:rPr>
          <w:rFonts w:ascii="Times New Roman" w:hAnsi="Times New Roman"/>
          <w:color w:val="auto"/>
          <w:sz w:val="28"/>
          <w:szCs w:val="28"/>
        </w:rPr>
      </w:pPr>
      <w:r>
        <w:rPr>
          <w:rFonts w:ascii="Times New Roman" w:hAnsi="Times New Roman"/>
          <w:color w:val="auto"/>
          <w:sz w:val="28"/>
          <w:szCs w:val="28"/>
        </w:rPr>
        <w:t>2. Materials and Methods</w:t>
      </w:r>
    </w:p>
    <w:p w14:paraId="41051579">
      <w:pPr>
        <w:pStyle w:val="49"/>
        <w:spacing w:before="0" w:after="0" w:line="240" w:lineRule="auto"/>
        <w:ind w:left="0"/>
        <w:rPr>
          <w:rFonts w:ascii="Times New Roman" w:hAnsi="Times New Roman" w:eastAsiaTheme="minorEastAsia"/>
          <w:b/>
          <w:bCs/>
          <w:i w:val="0"/>
          <w:iCs/>
          <w:color w:val="auto"/>
          <w:sz w:val="21"/>
          <w:szCs w:val="21"/>
          <w:lang w:eastAsia="zh-CN"/>
        </w:rPr>
      </w:pPr>
      <w:r>
        <w:rPr>
          <w:rFonts w:ascii="Times New Roman" w:hAnsi="Times New Roman"/>
          <w:b/>
          <w:bCs/>
          <w:i w:val="0"/>
          <w:iCs/>
          <w:color w:val="auto"/>
          <w:sz w:val="21"/>
          <w:szCs w:val="21"/>
        </w:rPr>
        <w:t>2.1</w:t>
      </w:r>
      <w:r>
        <w:rPr>
          <w:rFonts w:ascii="Times New Roman" w:hAnsi="Times New Roman" w:eastAsiaTheme="minorEastAsia"/>
          <w:b/>
          <w:bCs/>
          <w:i w:val="0"/>
          <w:iCs/>
          <w:color w:val="auto"/>
          <w:sz w:val="21"/>
          <w:szCs w:val="21"/>
          <w:lang w:eastAsia="zh-CN"/>
        </w:rPr>
        <w:t>. Study Area and Operational Background</w:t>
      </w:r>
    </w:p>
    <w:p w14:paraId="7B15A3B0">
      <w:pPr>
        <w:pStyle w:val="34"/>
        <w:spacing w:line="240" w:lineRule="auto"/>
        <w:ind w:left="0" w:firstLine="420" w:firstLineChars="200"/>
        <w:rPr>
          <w:rFonts w:ascii="Times New Roman" w:hAnsi="Times New Roman"/>
          <w:color w:val="auto"/>
          <w:sz w:val="21"/>
          <w:szCs w:val="21"/>
        </w:rPr>
      </w:pPr>
      <w:r>
        <w:rPr>
          <w:rFonts w:ascii="Times New Roman" w:hAnsi="Times New Roman"/>
          <w:color w:val="auto"/>
          <w:sz w:val="21"/>
          <w:szCs w:val="21"/>
        </w:rPr>
        <w:t xml:space="preserve">The Three Gorges Reservoir (TGR) lies in the transition zone between the upper and middle reaches of the Yangtze River and is a typical giant </w:t>
      </w:r>
      <w:r>
        <w:rPr>
          <w:rFonts w:hint="eastAsia" w:ascii="Times New Roman" w:hAnsi="Times New Roman" w:eastAsia="宋体"/>
          <w:color w:val="auto"/>
          <w:sz w:val="21"/>
          <w:szCs w:val="21"/>
          <w:lang w:eastAsia="zh-CN"/>
        </w:rPr>
        <w:t>riverine reservoir</w:t>
      </w:r>
      <w:r>
        <w:rPr>
          <w:rFonts w:ascii="Times New Roman" w:hAnsi="Times New Roman"/>
          <w:color w:val="auto"/>
          <w:sz w:val="21"/>
          <w:szCs w:val="21"/>
        </w:rPr>
        <w:t xml:space="preserve">. </w:t>
      </w:r>
      <w:r>
        <w:rPr>
          <w:rFonts w:hint="eastAsia" w:ascii="Times New Roman" w:hAnsi="Times New Roman" w:eastAsia="宋体"/>
          <w:color w:val="auto"/>
          <w:sz w:val="21"/>
          <w:szCs w:val="21"/>
          <w:lang w:eastAsia="zh-CN"/>
        </w:rPr>
        <w:t xml:space="preserve">Fig. </w:t>
      </w:r>
      <w:r>
        <w:rPr>
          <w:rFonts w:ascii="Times New Roman" w:hAnsi="Times New Roman"/>
          <w:color w:val="auto"/>
          <w:sz w:val="21"/>
          <w:szCs w:val="21"/>
        </w:rPr>
        <w:t>1 shows the reservoir area and the key control stations. The mainstream reservoir reach extends for about 660 km, including a variable backwater reach from Jiangjin to Fuling and a perennial backwater reach from Fuling to the dam site. Major tributaries, especially the Jialing and Wu Rivers, strongly influence longitudinal water-level variations within the reservoir area</w:t>
      </w:r>
      <w:r>
        <w:rPr>
          <w:rFonts w:ascii="Times New Roman" w:hAnsi="Times New Roman"/>
          <w:color w:val="auto"/>
          <w:sz w:val="21"/>
          <w:szCs w:val="21"/>
          <w:vertAlign w:val="superscript"/>
        </w:rPr>
        <w:t>[2</w:t>
      </w:r>
      <w:r>
        <w:rPr>
          <w:rFonts w:hint="eastAsia" w:ascii="Times New Roman" w:hAnsi="Times New Roman" w:eastAsia="宋体"/>
          <w:color w:val="auto"/>
          <w:sz w:val="21"/>
          <w:szCs w:val="21"/>
          <w:vertAlign w:val="superscript"/>
          <w:lang w:eastAsia="zh-CN"/>
        </w:rPr>
        <w:t>-</w:t>
      </w:r>
      <w:r>
        <w:rPr>
          <w:rFonts w:ascii="Times New Roman" w:hAnsi="Times New Roman"/>
          <w:color w:val="auto"/>
          <w:sz w:val="21"/>
          <w:szCs w:val="21"/>
          <w:vertAlign w:val="superscript"/>
        </w:rPr>
        <w:t>3]</w:t>
      </w:r>
      <w:r>
        <w:rPr>
          <w:rFonts w:ascii="Times New Roman" w:hAnsi="Times New Roman"/>
          <w:color w:val="auto"/>
          <w:sz w:val="21"/>
          <w:szCs w:val="21"/>
        </w:rPr>
        <w:t xml:space="preserve">. Unlike conventional lacustrine </w:t>
      </w:r>
      <w:r>
        <w:rPr>
          <w:rFonts w:hint="eastAsia" w:ascii="Times New Roman" w:hAnsi="Times New Roman" w:eastAsia="宋体"/>
          <w:color w:val="auto"/>
          <w:sz w:val="21"/>
          <w:szCs w:val="21"/>
          <w:lang w:eastAsia="zh-CN"/>
        </w:rPr>
        <w:t>reservoir</w:t>
      </w:r>
      <w:r>
        <w:rPr>
          <w:rFonts w:ascii="Times New Roman" w:hAnsi="Times New Roman"/>
          <w:color w:val="auto"/>
          <w:sz w:val="21"/>
          <w:szCs w:val="21"/>
        </w:rPr>
        <w:t>s, the TGR is characterized by long-distance backwater, tributary blocking effects, and pronounced spatial heterogeneity in hydraulic conditions. Evaluation of flood-season operation therefore needs to consider flood regulation at the dam front, high-water-level responses along the reservoir, and downstream flood-control constraints simultaneously.</w:t>
      </w:r>
    </w:p>
    <w:p w14:paraId="083583E3">
      <w:pPr>
        <w:pStyle w:val="34"/>
        <w:spacing w:line="240" w:lineRule="auto"/>
        <w:ind w:left="0" w:firstLine="420" w:firstLineChars="200"/>
        <w:rPr>
          <w:rFonts w:ascii="Times New Roman" w:hAnsi="Times New Roman" w:eastAsiaTheme="minorEastAsia"/>
          <w:color w:val="auto"/>
          <w:sz w:val="21"/>
          <w:szCs w:val="21"/>
          <w:lang w:eastAsia="zh-CN"/>
        </w:rPr>
      </w:pPr>
      <w:r>
        <w:rPr>
          <w:rFonts w:ascii="Times New Roman" w:hAnsi="Times New Roman"/>
          <w:color w:val="auto"/>
          <w:sz w:val="21"/>
          <w:szCs w:val="21"/>
        </w:rPr>
        <w:t>According to the Rules for Cascade Dispatching of the Three Gorges (Normal Operation Period)-Gezhouba Water Control Project (2019 revision), the TGR provides 22.15 billion m³ of flood-control storage. In elevation terms, this storage is divided into three layers: 145</w:t>
      </w:r>
      <w:r>
        <w:rPr>
          <w:rFonts w:hint="eastAsia" w:ascii="Times New Roman" w:hAnsi="Times New Roman" w:eastAsiaTheme="minorEastAsia"/>
          <w:color w:val="auto"/>
          <w:sz w:val="21"/>
          <w:szCs w:val="21"/>
          <w:lang w:eastAsia="zh-CN"/>
        </w:rPr>
        <w:t>-</w:t>
      </w:r>
      <w:r>
        <w:rPr>
          <w:rFonts w:ascii="Times New Roman" w:hAnsi="Times New Roman"/>
          <w:color w:val="auto"/>
          <w:sz w:val="21"/>
          <w:szCs w:val="21"/>
        </w:rPr>
        <w:t>155 m, 155</w:t>
      </w:r>
      <w:r>
        <w:rPr>
          <w:rFonts w:hint="eastAsia" w:ascii="Times New Roman" w:hAnsi="Times New Roman" w:eastAsiaTheme="minorEastAsia"/>
          <w:color w:val="auto"/>
          <w:sz w:val="21"/>
          <w:szCs w:val="21"/>
          <w:lang w:eastAsia="zh-CN"/>
        </w:rPr>
        <w:t>-</w:t>
      </w:r>
      <w:r>
        <w:rPr>
          <w:rFonts w:ascii="Times New Roman" w:hAnsi="Times New Roman"/>
          <w:color w:val="auto"/>
          <w:sz w:val="21"/>
          <w:szCs w:val="21"/>
        </w:rPr>
        <w:t>171 m, and 171</w:t>
      </w:r>
      <w:r>
        <w:rPr>
          <w:rFonts w:hint="eastAsia" w:ascii="Times New Roman" w:hAnsi="Times New Roman" w:eastAsiaTheme="minorEastAsia"/>
          <w:color w:val="auto"/>
          <w:sz w:val="21"/>
          <w:szCs w:val="21"/>
          <w:lang w:eastAsia="zh-CN"/>
        </w:rPr>
        <w:t>-</w:t>
      </w:r>
      <w:r>
        <w:rPr>
          <w:rFonts w:ascii="Times New Roman" w:hAnsi="Times New Roman"/>
          <w:color w:val="auto"/>
          <w:sz w:val="21"/>
          <w:szCs w:val="21"/>
        </w:rPr>
        <w:t>175 m, which are used for flood-control compensation for the Chenglingji area and the Jingjiang reach, additional flood-control compensation for the Jingjiang reach, and regulation of extraordinary floods in the Jingjiang reach, respectively</w:t>
      </w:r>
      <w:r>
        <w:rPr>
          <w:rFonts w:ascii="Times New Roman" w:hAnsi="Times New Roman"/>
          <w:color w:val="auto"/>
          <w:sz w:val="21"/>
          <w:szCs w:val="21"/>
          <w:vertAlign w:val="superscript"/>
        </w:rPr>
        <w:t>[1]</w:t>
      </w:r>
      <w:r>
        <w:rPr>
          <w:rFonts w:ascii="Times New Roman" w:hAnsi="Times New Roman"/>
          <w:color w:val="auto"/>
          <w:sz w:val="21"/>
          <w:szCs w:val="21"/>
        </w:rPr>
        <w:t>. Under the current operating rules, when the reservoir water level is below 171 m, releases are regulated mainly according to flood-control requirements at Shashi Station; when the water level is between 171 and 175 m, releases are further constrained by discharge at Zhicheng Station and by conditions for flood diversion and detention in the Jingjiang area; once 175 m is reached, operation shifts to safeguarding the hub itself</w:t>
      </w:r>
      <w:r>
        <w:rPr>
          <w:rFonts w:ascii="Times New Roman" w:hAnsi="Times New Roman"/>
          <w:color w:val="auto"/>
          <w:sz w:val="21"/>
          <w:szCs w:val="21"/>
          <w:vertAlign w:val="superscript"/>
        </w:rPr>
        <w:t>[1]</w:t>
      </w:r>
      <w:r>
        <w:rPr>
          <w:rFonts w:ascii="Times New Roman" w:hAnsi="Times New Roman"/>
          <w:color w:val="auto"/>
          <w:sz w:val="21"/>
          <w:szCs w:val="21"/>
        </w:rPr>
        <w:t>. The flood-season operating water level of the TGR is therefore not determined solely by hub storage and prescribed release limit, but by the joint constraints of layered flood-control storage, water-level responses within the reservoir area, and downstream conveyance capacity.</w:t>
      </w:r>
    </w:p>
    <w:p w14:paraId="081152FE">
      <w:pPr>
        <w:pStyle w:val="34"/>
        <w:ind w:left="0" w:firstLine="400" w:firstLineChars="200"/>
        <w:rPr>
          <w:rFonts w:ascii="Times New Roman" w:hAnsi="Times New Roman" w:eastAsiaTheme="minorEastAsia"/>
          <w:color w:val="auto"/>
          <w:lang w:eastAsia="zh-CN"/>
        </w:rPr>
      </w:pPr>
    </w:p>
    <w:p w14:paraId="1BA97E3E">
      <w:pPr>
        <w:pStyle w:val="34"/>
        <w:ind w:left="0" w:firstLine="440" w:firstLineChars="200"/>
        <w:jc w:val="center"/>
        <w:rPr>
          <w:rFonts w:ascii="Times New Roman" w:hAnsi="Times New Roman" w:eastAsiaTheme="minorEastAsia"/>
          <w:color w:val="auto"/>
          <w:lang w:eastAsia="zh-CN"/>
        </w:rPr>
      </w:pPr>
      <w:r>
        <w:rPr>
          <w:rFonts w:ascii="Times New Roman" w:hAnsi="Times New Roman"/>
          <w:snapToGrid/>
          <w:color w:val="auto"/>
          <w:kern w:val="2"/>
          <w:sz w:val="22"/>
          <w:szCs w:val="24"/>
          <w:lang w:eastAsia="zh-CN" w:bidi="ar-SA"/>
          <w14:ligatures w14:val="standardContextual"/>
        </w:rPr>
        <w:drawing>
          <wp:inline distT="0" distB="0" distL="0" distR="0">
            <wp:extent cx="3599815" cy="2399665"/>
            <wp:effectExtent l="0" t="0" r="12065" b="825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3600000" cy="2400000"/>
                    </a:xfrm>
                    <a:prstGeom prst="rect">
                      <a:avLst/>
                    </a:prstGeom>
                    <a:noFill/>
                    <a:ln>
                      <a:noFill/>
                    </a:ln>
                  </pic:spPr>
                </pic:pic>
              </a:graphicData>
            </a:graphic>
          </wp:inline>
        </w:drawing>
      </w:r>
    </w:p>
    <w:p w14:paraId="505CCB31">
      <w:pPr>
        <w:pStyle w:val="34"/>
        <w:ind w:left="0" w:firstLine="400" w:firstLineChars="200"/>
        <w:jc w:val="center"/>
        <w:rPr>
          <w:rFonts w:ascii="Times New Roman" w:hAnsi="Times New Roman" w:eastAsiaTheme="minorEastAsia"/>
          <w:color w:val="auto"/>
          <w:lang w:eastAsia="zh-CN"/>
        </w:rPr>
      </w:pPr>
      <w:r>
        <w:rPr>
          <w:rFonts w:hint="eastAsia" w:ascii="Times New Roman" w:hAnsi="Times New Roman" w:eastAsiaTheme="minorEastAsia"/>
          <w:color w:val="auto"/>
          <w:lang w:eastAsia="zh-CN"/>
        </w:rPr>
        <w:t xml:space="preserve">Fig. </w:t>
      </w:r>
      <w:r>
        <w:rPr>
          <w:rFonts w:ascii="Times New Roman" w:hAnsi="Times New Roman" w:eastAsiaTheme="minorEastAsia"/>
          <w:color w:val="auto"/>
          <w:lang w:eastAsia="zh-CN"/>
        </w:rPr>
        <w:t>1 Study area and key control stations</w:t>
      </w:r>
    </w:p>
    <w:p w14:paraId="12EBF942">
      <w:pPr>
        <w:pStyle w:val="34"/>
        <w:ind w:left="0" w:firstLine="360" w:firstLineChars="200"/>
        <w:jc w:val="center"/>
        <w:rPr>
          <w:rFonts w:ascii="Times New Roman" w:hAnsi="Times New Roman" w:eastAsia="黑体"/>
          <w:color w:val="auto"/>
          <w:sz w:val="18"/>
          <w:szCs w:val="18"/>
          <w:lang w:eastAsia="zh-CN"/>
        </w:rPr>
      </w:pPr>
      <w:r>
        <w:rPr>
          <w:rFonts w:ascii="Times New Roman" w:hAnsi="Times New Roman" w:eastAsia="黑体"/>
          <w:color w:val="auto"/>
          <w:sz w:val="18"/>
          <w:szCs w:val="18"/>
          <w:lang w:eastAsia="zh-CN"/>
        </w:rPr>
        <w:t xml:space="preserve">图1 </w:t>
      </w:r>
      <w:r>
        <w:rPr>
          <w:rFonts w:ascii="Times New Roman" w:hAnsi="Times New Roman" w:eastAsia="黑体"/>
          <w:color w:val="auto"/>
          <w:sz w:val="18"/>
          <w:szCs w:val="18"/>
        </w:rPr>
        <w:t>研究区及关键控制站点示意</w:t>
      </w:r>
    </w:p>
    <w:p w14:paraId="01C62662">
      <w:pPr>
        <w:pStyle w:val="34"/>
        <w:ind w:left="0" w:firstLine="360" w:firstLineChars="200"/>
        <w:rPr>
          <w:rFonts w:ascii="Times New Roman" w:hAnsi="Times New Roman" w:eastAsia="黑体"/>
          <w:color w:val="auto"/>
          <w:sz w:val="18"/>
          <w:szCs w:val="18"/>
          <w:lang w:eastAsia="zh-CN"/>
        </w:rPr>
      </w:pPr>
    </w:p>
    <w:p w14:paraId="29BB2311">
      <w:pPr>
        <w:pStyle w:val="49"/>
        <w:spacing w:before="0" w:after="0" w:line="240" w:lineRule="auto"/>
        <w:ind w:left="0"/>
        <w:rPr>
          <w:rFonts w:ascii="Times New Roman" w:hAnsi="Times New Roman"/>
          <w:b/>
          <w:bCs/>
          <w:i w:val="0"/>
          <w:iCs/>
          <w:color w:val="auto"/>
          <w:sz w:val="21"/>
          <w:szCs w:val="21"/>
        </w:rPr>
      </w:pPr>
      <w:r>
        <w:rPr>
          <w:rFonts w:ascii="Times New Roman" w:hAnsi="Times New Roman"/>
          <w:b/>
          <w:bCs/>
          <w:i w:val="0"/>
          <w:iCs/>
          <w:color w:val="auto"/>
          <w:sz w:val="21"/>
          <w:szCs w:val="21"/>
        </w:rPr>
        <w:t>2.2. Development of a One-Dimensional Hydrodynamic Model</w:t>
      </w:r>
    </w:p>
    <w:p w14:paraId="0B3D1621">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Because the TGR is a typical </w:t>
      </w:r>
      <w:r>
        <w:rPr>
          <w:rFonts w:hint="eastAsia" w:ascii="Times New Roman" w:hAnsi="Times New Roman" w:eastAsiaTheme="minorEastAsia"/>
          <w:color w:val="auto"/>
          <w:sz w:val="21"/>
          <w:szCs w:val="21"/>
          <w:lang w:eastAsia="zh-CN"/>
        </w:rPr>
        <w:t>riverine reservoir</w:t>
      </w:r>
      <w:r>
        <w:rPr>
          <w:rFonts w:ascii="Times New Roman" w:hAnsi="Times New Roman" w:eastAsiaTheme="minorEastAsia"/>
          <w:color w:val="auto"/>
          <w:sz w:val="21"/>
          <w:szCs w:val="21"/>
          <w:lang w:eastAsia="zh-CN"/>
        </w:rPr>
        <w:t xml:space="preserve"> and major tributaries such as the Jialing and Wu Rivers exert substantial inflow effects within the reservoir area, a one-dimensional unsteady hydrodynamic model was developed to simulate flood routing in both the mainstream and tributaries. The mainstream and the major tributaries were generalized as individual channels, and mainstream–tributary coupling was represented at confluence nodes through connection conditions. The model framework consists of single-channel governing equations, junction equations, and boundary conditions. This framework captures the key hydraulic features of the TGR, including long-distance backwater, tributary backwater effects, and longitudinal water-level responses, and is therefore suitable for evaluating operating water levels during the </w:t>
      </w:r>
      <w:r>
        <w:rPr>
          <w:rFonts w:hint="eastAsia" w:ascii="Times New Roman" w:hAnsi="Times New Roman" w:eastAsiaTheme="minorEastAsia"/>
          <w:color w:val="auto"/>
          <w:sz w:val="21"/>
          <w:szCs w:val="21"/>
          <w:lang w:eastAsia="zh-CN"/>
        </w:rPr>
        <w:t>flood-season</w:t>
      </w:r>
      <w:r>
        <w:rPr>
          <w:rFonts w:ascii="Times New Roman" w:hAnsi="Times New Roman" w:eastAsiaTheme="minorEastAsia"/>
          <w:color w:val="auto"/>
          <w:sz w:val="21"/>
          <w:szCs w:val="21"/>
          <w:lang w:eastAsia="zh-CN"/>
        </w:rPr>
        <w:t xml:space="preserve"> and their implications for flood-control safety.</w:t>
      </w:r>
    </w:p>
    <w:p w14:paraId="41869707">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The choice of model dimension was determined by the objective and spatial scale of this study. Two- and three-dimensional models are advantageous for resolving local complex flow structures, secondary circulation, confluence hydraulics, and near-dam flow fields. However, this study focuses on reservoir-scale flood routing, longitudinal water-level responses, maximum regulated water levels, excess flood volume, and operating-water-level thresholds under multiple flood and release-rule scenarios. For this purpose, a one-dimensional unsteady-flow hydrodynamic model provides an appropriate balance among physical representation, computational efficiency, parameter availability, and engineering applicability. The model was further optimized through segmented storage matching and inversion of uncontrolled interval inflow to better represent the hydraulic characteristics of the TGR, including long-distance backwater, mainstream–tributary interactions, spatially uneven storage distribution, and dam-front boundary control. Nevertheless, local two- or three-dimensional flow structures near major confluences and other hydraulically complex reaches remain beyond the scope of the present model and should be addressed in future refined studies.</w:t>
      </w:r>
    </w:p>
    <w:p w14:paraId="635CB35E">
      <w:pPr>
        <w:pStyle w:val="34"/>
        <w:ind w:left="0" w:firstLine="400" w:firstLineChars="200"/>
        <w:rPr>
          <w:rFonts w:ascii="Times New Roman" w:hAnsi="Times New Roman" w:eastAsiaTheme="minorEastAsia"/>
          <w:color w:val="auto"/>
          <w:lang w:eastAsia="zh-CN"/>
        </w:rPr>
      </w:pPr>
    </w:p>
    <w:p w14:paraId="765A1674">
      <w:pPr>
        <w:pStyle w:val="47"/>
        <w:ind w:left="0" w:firstLine="400" w:firstLineChars="200"/>
        <w:rPr>
          <w:rFonts w:ascii="Times New Roman" w:hAnsi="Times New Roman" w:eastAsiaTheme="minorEastAsia"/>
          <w:color w:val="auto"/>
          <w:lang w:eastAsia="zh-CN"/>
        </w:rPr>
      </w:pPr>
      <w:r>
        <w:rPr>
          <w:rFonts w:ascii="Times New Roman" w:hAnsi="Times New Roman"/>
          <w:color w:val="auto"/>
        </w:rPr>
        <w:t>2.2.1.</w:t>
      </w:r>
      <w:r>
        <w:rPr>
          <w:rFonts w:ascii="Times New Roman" w:hAnsi="Times New Roman"/>
          <w:i/>
          <w:iCs/>
          <w:color w:val="auto"/>
          <w:sz w:val="21"/>
          <w:szCs w:val="21"/>
        </w:rPr>
        <w:t xml:space="preserve"> Governing equations</w:t>
      </w:r>
    </w:p>
    <w:p w14:paraId="791C6343">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Unsteady flow in a single channel was described by the Saint-Venant equations, including the continuity and momentum equations</w:t>
      </w:r>
      <w:r>
        <w:rPr>
          <w:rFonts w:hint="eastAsia" w:ascii="Times New Roman" w:hAnsi="Times New Roman" w:eastAsiaTheme="minorEastAsia"/>
          <w:color w:val="auto"/>
          <w:sz w:val="21"/>
          <w:szCs w:val="21"/>
          <w:vertAlign w:val="superscript"/>
          <w:lang w:eastAsia="zh-CN"/>
        </w:rPr>
        <w:t>[41-42]</w:t>
      </w:r>
    </w:p>
    <w:tbl>
      <w:tblPr>
        <w:tblStyle w:val="12"/>
        <w:tblW w:w="5000" w:type="pct"/>
        <w:jc w:val="center"/>
        <w:tblLayout w:type="autofit"/>
        <w:tblCellMar>
          <w:top w:w="0" w:type="dxa"/>
          <w:left w:w="0" w:type="dxa"/>
          <w:bottom w:w="0" w:type="dxa"/>
          <w:right w:w="0" w:type="dxa"/>
        </w:tblCellMar>
      </w:tblPr>
      <w:tblGrid>
        <w:gridCol w:w="2058"/>
        <w:gridCol w:w="3960"/>
        <w:gridCol w:w="1756"/>
        <w:gridCol w:w="532"/>
      </w:tblGrid>
      <w:tr w14:paraId="682AF518">
        <w:tblPrEx>
          <w:tblCellMar>
            <w:top w:w="0" w:type="dxa"/>
            <w:left w:w="0" w:type="dxa"/>
            <w:bottom w:w="0" w:type="dxa"/>
            <w:right w:w="0" w:type="dxa"/>
          </w:tblCellMar>
        </w:tblPrEx>
        <w:trPr>
          <w:gridBefore w:val="1"/>
          <w:wBefore w:w="1239" w:type="pct"/>
          <w:jc w:val="center"/>
        </w:trPr>
        <w:tc>
          <w:tcPr>
            <w:tcW w:w="2384" w:type="pct"/>
          </w:tcPr>
          <w:p w14:paraId="5118FC99">
            <w:pPr>
              <w:pStyle w:val="47"/>
              <w:ind w:left="0" w:firstLine="420" w:firstLineChars="200"/>
              <w:jc w:val="center"/>
              <w:rPr>
                <w:rFonts w:ascii="Times New Roman" w:hAnsi="Times New Roman" w:eastAsiaTheme="minorEastAsia"/>
                <w:color w:val="auto"/>
                <w:sz w:val="21"/>
                <w:szCs w:val="21"/>
              </w:rPr>
            </w:pPr>
            <w:r>
              <w:rPr>
                <w:rFonts w:ascii="Times New Roman" w:hAnsi="Times New Roman" w:eastAsiaTheme="minorEastAsia"/>
                <w:snapToGrid/>
                <w:color w:val="auto"/>
                <w:sz w:val="21"/>
                <w:szCs w:val="21"/>
              </w:rPr>
              <w:object>
                <v:shape id="_x0000_i1025" o:spt="75" type="#_x0000_t75" style="height:36.85pt;width:77.75pt;" o:ole="t" fillcolor="#6D6D6D" filled="f" o:preferrelative="t" stroked="f" coordsize="21600,21600">
                  <v:path/>
                  <v:fill on="f" focussize="0,0"/>
                  <v:stroke on="f" joinstyle="miter"/>
                  <v:imagedata r:id="rId12" o:title=""/>
                  <o:lock v:ext="edit" aspectratio="t"/>
                  <w10:wrap type="none"/>
                  <w10:anchorlock/>
                </v:shape>
                <o:OLEObject Type="Embed" ProgID="Equation.3" ShapeID="_x0000_i1025" DrawAspect="Content" ObjectID="_1468075725" r:id="rId11">
                  <o:LockedField>false</o:LockedField>
                </o:OLEObject>
              </w:object>
            </w:r>
          </w:p>
        </w:tc>
        <w:tc>
          <w:tcPr>
            <w:tcW w:w="1350" w:type="pct"/>
            <w:gridSpan w:val="2"/>
            <w:vAlign w:val="center"/>
          </w:tcPr>
          <w:p w14:paraId="469F4BC7">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(1)</w:t>
            </w:r>
          </w:p>
        </w:tc>
      </w:tr>
      <w:tr w14:paraId="02620E3C">
        <w:tblPrEx>
          <w:tblCellMar>
            <w:top w:w="0" w:type="dxa"/>
            <w:left w:w="0" w:type="dxa"/>
            <w:bottom w:w="0" w:type="dxa"/>
            <w:right w:w="0" w:type="dxa"/>
          </w:tblCellMar>
        </w:tblPrEx>
        <w:trPr>
          <w:jc w:val="center"/>
        </w:trPr>
        <w:tc>
          <w:tcPr>
            <w:tcW w:w="4680" w:type="pct"/>
            <w:gridSpan w:val="3"/>
          </w:tcPr>
          <w:p w14:paraId="530997D2">
            <w:pPr>
              <w:pStyle w:val="40"/>
              <w:ind w:left="0" w:firstLine="420" w:firstLineChars="200"/>
              <w:rPr>
                <w:rFonts w:ascii="Times New Roman" w:hAnsi="Times New Roman"/>
                <w:color w:val="auto"/>
                <w:sz w:val="21"/>
                <w:szCs w:val="21"/>
              </w:rPr>
            </w:pPr>
            <w:r>
              <w:rPr>
                <w:rFonts w:ascii="Times New Roman" w:hAnsi="Times New Roman"/>
                <w:snapToGrid/>
                <w:color w:val="auto"/>
                <w:sz w:val="21"/>
                <w:szCs w:val="21"/>
              </w:rPr>
              <w:object>
                <v:shape id="_x0000_i1026" o:spt="75" type="#_x0000_t75" style="height:36.85pt;width:210.8pt;" o:ole="t" fillcolor="#6D6D6D" filled="f" o:preferrelative="f" stroked="f" coordsize="21600,21600">
                  <v:path/>
                  <v:fill on="f" focussize="0,0"/>
                  <v:stroke on="f" joinstyle="miter"/>
                  <v:imagedata r:id="rId14" o:title=""/>
                  <o:lock v:ext="edit" aspectratio="f"/>
                  <w10:wrap type="none"/>
                  <w10:anchorlock/>
                </v:shape>
                <o:OLEObject Type="Embed" ProgID="Equation.3" ShapeID="_x0000_i1026" DrawAspect="Content" ObjectID="_1468075726" r:id="rId13">
                  <o:LockedField>false</o:LockedField>
                </o:OLEObject>
              </w:object>
            </w:r>
          </w:p>
        </w:tc>
        <w:tc>
          <w:tcPr>
            <w:tcW w:w="320" w:type="pct"/>
            <w:vAlign w:val="center"/>
          </w:tcPr>
          <w:p w14:paraId="32124807">
            <w:pPr>
              <w:pStyle w:val="41"/>
              <w:rPr>
                <w:rFonts w:ascii="Times New Roman" w:hAnsi="Times New Roman"/>
                <w:color w:val="auto"/>
                <w:sz w:val="21"/>
                <w:szCs w:val="21"/>
              </w:rPr>
            </w:pPr>
            <w:r>
              <w:rPr>
                <w:rFonts w:ascii="Times New Roman" w:hAnsi="Times New Roman"/>
                <w:color w:val="auto"/>
                <w:sz w:val="21"/>
                <w:szCs w:val="21"/>
              </w:rPr>
              <w:t>(2)</w:t>
            </w:r>
          </w:p>
        </w:tc>
      </w:tr>
    </w:tbl>
    <w:p w14:paraId="06C8D789">
      <w:pPr>
        <w:pStyle w:val="34"/>
        <w:ind w:left="0" w:firstLine="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where </w:t>
      </w:r>
      <w:r>
        <w:rPr>
          <w:rFonts w:ascii="Times New Roman" w:hAnsi="Times New Roman" w:eastAsiaTheme="minorEastAsia"/>
          <w:i/>
          <w:iCs/>
          <w:color w:val="auto"/>
          <w:sz w:val="21"/>
          <w:szCs w:val="21"/>
          <w:lang w:eastAsia="zh-CN"/>
        </w:rPr>
        <w:t>i</w:t>
      </w:r>
      <w:r>
        <w:rPr>
          <w:rFonts w:ascii="Times New Roman" w:hAnsi="Times New Roman" w:eastAsiaTheme="minorEastAsia"/>
          <w:color w:val="auto"/>
          <w:sz w:val="21"/>
          <w:szCs w:val="21"/>
          <w:lang w:eastAsia="zh-CN"/>
        </w:rPr>
        <w:t xml:space="preserve"> is the cross-section index; </w:t>
      </w:r>
      <w:r>
        <w:rPr>
          <w:rFonts w:ascii="Times New Roman" w:hAnsi="Times New Roman" w:eastAsiaTheme="minorEastAsia"/>
          <w:i/>
          <w:iCs/>
          <w:color w:val="auto"/>
          <w:sz w:val="21"/>
          <w:szCs w:val="21"/>
          <w:lang w:eastAsia="zh-CN"/>
        </w:rPr>
        <w:t>A</w:t>
      </w:r>
      <w:r>
        <w:rPr>
          <w:rFonts w:ascii="Times New Roman" w:hAnsi="Times New Roman" w:eastAsiaTheme="minorEastAsia"/>
          <w:color w:val="auto"/>
          <w:sz w:val="21"/>
          <w:szCs w:val="21"/>
          <w:lang w:eastAsia="zh-CN"/>
        </w:rPr>
        <w:t xml:space="preserve"> is the wetted area; </w:t>
      </w:r>
      <w:r>
        <w:rPr>
          <w:rFonts w:ascii="Times New Roman" w:hAnsi="Times New Roman" w:eastAsiaTheme="minorEastAsia"/>
          <w:i/>
          <w:iCs/>
          <w:color w:val="auto"/>
          <w:sz w:val="21"/>
          <w:szCs w:val="21"/>
          <w:lang w:eastAsia="zh-CN"/>
        </w:rPr>
        <w:t>Q</w:t>
      </w:r>
      <w:r>
        <w:rPr>
          <w:rFonts w:ascii="Times New Roman" w:hAnsi="Times New Roman" w:eastAsiaTheme="minorEastAsia"/>
          <w:color w:val="auto"/>
          <w:sz w:val="21"/>
          <w:szCs w:val="21"/>
          <w:lang w:eastAsia="zh-CN"/>
        </w:rPr>
        <w:t xml:space="preserve"> is the sectional discharge; </w:t>
      </w:r>
      <w:r>
        <w:rPr>
          <w:rFonts w:ascii="Times New Roman" w:hAnsi="Times New Roman" w:eastAsiaTheme="minorEastAsia"/>
          <w:i/>
          <w:iCs/>
          <w:color w:val="auto"/>
          <w:sz w:val="21"/>
          <w:szCs w:val="21"/>
          <w:lang w:eastAsia="zh-CN"/>
        </w:rPr>
        <w:t>Z</w:t>
      </w:r>
      <w:r>
        <w:rPr>
          <w:rFonts w:ascii="Times New Roman" w:hAnsi="Times New Roman" w:eastAsiaTheme="minorEastAsia"/>
          <w:color w:val="auto"/>
          <w:sz w:val="21"/>
          <w:szCs w:val="21"/>
          <w:lang w:eastAsia="zh-CN"/>
        </w:rPr>
        <w:t xml:space="preserve"> is the water level; </w:t>
      </w:r>
      <w:r>
        <w:rPr>
          <w:rFonts w:ascii="Times New Roman" w:hAnsi="Times New Roman" w:eastAsiaTheme="minorEastAsia"/>
          <w:i/>
          <w:iCs/>
          <w:color w:val="auto"/>
          <w:sz w:val="21"/>
          <w:szCs w:val="21"/>
          <w:lang w:eastAsia="zh-CN"/>
        </w:rPr>
        <w:t>q</w:t>
      </w:r>
      <w:r>
        <w:rPr>
          <w:rFonts w:ascii="Times New Roman" w:hAnsi="Times New Roman" w:eastAsiaTheme="minorEastAsia"/>
          <w:color w:val="auto"/>
          <w:sz w:val="21"/>
          <w:szCs w:val="21"/>
          <w:vertAlign w:val="subscript"/>
          <w:lang w:eastAsia="zh-CN"/>
        </w:rPr>
        <w:t>L</w:t>
      </w:r>
      <w:r>
        <w:rPr>
          <w:rFonts w:ascii="Times New Roman" w:hAnsi="Times New Roman" w:eastAsiaTheme="minorEastAsia"/>
          <w:color w:val="auto"/>
          <w:sz w:val="21"/>
          <w:szCs w:val="21"/>
          <w:lang w:eastAsia="zh-CN"/>
        </w:rPr>
        <w:t xml:space="preserve"> is the lateral inflow per unit channel length; t is time; </w:t>
      </w:r>
      <w:r>
        <w:rPr>
          <w:rFonts w:ascii="Times New Roman" w:hAnsi="Times New Roman" w:eastAsiaTheme="minorEastAsia"/>
          <w:i/>
          <w:iCs/>
          <w:color w:val="auto"/>
          <w:sz w:val="21"/>
          <w:szCs w:val="21"/>
          <w:lang w:eastAsia="zh-CN"/>
        </w:rPr>
        <w:t>x</w:t>
      </w:r>
      <w:r>
        <w:rPr>
          <w:rFonts w:ascii="Times New Roman" w:hAnsi="Times New Roman" w:eastAsiaTheme="minorEastAsia"/>
          <w:color w:val="auto"/>
          <w:sz w:val="21"/>
          <w:szCs w:val="21"/>
          <w:lang w:eastAsia="zh-CN"/>
        </w:rPr>
        <w:t xml:space="preserve"> is the longitudinal coordinate; </w:t>
      </w:r>
      <w:r>
        <w:rPr>
          <w:rFonts w:ascii="Times New Roman" w:hAnsi="Times New Roman" w:eastAsiaTheme="minorEastAsia"/>
          <w:i/>
          <w:iCs/>
          <w:color w:val="auto"/>
          <w:sz w:val="21"/>
          <w:szCs w:val="21"/>
          <w:lang w:eastAsia="zh-CN"/>
        </w:rPr>
        <w:t>g</w:t>
      </w:r>
      <w:r>
        <w:rPr>
          <w:rFonts w:ascii="Times New Roman" w:hAnsi="Times New Roman" w:eastAsiaTheme="minorEastAsia"/>
          <w:color w:val="auto"/>
          <w:sz w:val="21"/>
          <w:szCs w:val="21"/>
          <w:lang w:eastAsia="zh-CN"/>
        </w:rPr>
        <w:t xml:space="preserve"> is gravitational acceleration; and </w:t>
      </w:r>
      <w:r>
        <w:rPr>
          <w:rFonts w:ascii="Times New Roman" w:hAnsi="Times New Roman" w:eastAsiaTheme="minorEastAsia"/>
          <w:i/>
          <w:iCs/>
          <w:color w:val="auto"/>
          <w:sz w:val="21"/>
          <w:szCs w:val="21"/>
          <w:lang w:eastAsia="zh-CN"/>
        </w:rPr>
        <w:t>K</w:t>
      </w:r>
      <w:r>
        <w:rPr>
          <w:rFonts w:ascii="Times New Roman" w:hAnsi="Times New Roman" w:eastAsiaTheme="minorEastAsia"/>
          <w:color w:val="auto"/>
          <w:sz w:val="21"/>
          <w:szCs w:val="21"/>
          <w:lang w:eastAsia="zh-CN"/>
        </w:rPr>
        <w:t xml:space="preserve"> is the conveyance coefficient. </w:t>
      </w:r>
    </w:p>
    <w:p w14:paraId="62015E0A">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Together, these equations express conservation of mass and momentum and describe the propagation, deformation, and backwater rise of flood waves.</w:t>
      </w:r>
    </w:p>
    <w:p w14:paraId="69818A1A">
      <w:pPr>
        <w:pStyle w:val="34"/>
        <w:ind w:left="0" w:firstLine="400" w:firstLineChars="200"/>
        <w:rPr>
          <w:rFonts w:ascii="Times New Roman" w:hAnsi="Times New Roman" w:eastAsiaTheme="minorEastAsia"/>
          <w:color w:val="auto"/>
          <w:lang w:eastAsia="zh-CN"/>
        </w:rPr>
      </w:pPr>
    </w:p>
    <w:p w14:paraId="299BE841">
      <w:pPr>
        <w:pStyle w:val="47"/>
        <w:ind w:left="0" w:firstLine="400" w:firstLineChars="200"/>
        <w:rPr>
          <w:rFonts w:ascii="Times New Roman" w:hAnsi="Times New Roman"/>
          <w:color w:val="auto"/>
        </w:rPr>
      </w:pPr>
      <w:r>
        <w:rPr>
          <w:rFonts w:ascii="Times New Roman" w:hAnsi="Times New Roman"/>
          <w:color w:val="auto"/>
        </w:rPr>
        <w:t xml:space="preserve">2.2.2. </w:t>
      </w:r>
      <w:r>
        <w:rPr>
          <w:rFonts w:ascii="Times New Roman" w:hAnsi="Times New Roman"/>
          <w:i/>
          <w:iCs/>
          <w:color w:val="auto"/>
          <w:sz w:val="21"/>
          <w:szCs w:val="21"/>
        </w:rPr>
        <w:t>Junction connection equations</w:t>
      </w:r>
    </w:p>
    <w:p w14:paraId="5D29D32A">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Because several tributaries enter the TGR, junction equations were introduced at river confluences to ensure consistency of discharge and water level at mainstream–tributary coupling nodes</w:t>
      </w:r>
      <w:r>
        <w:rPr>
          <w:rFonts w:hint="eastAsia" w:ascii="Times New Roman" w:hAnsi="Times New Roman" w:eastAsiaTheme="minorEastAsia"/>
          <w:color w:val="auto"/>
          <w:sz w:val="21"/>
          <w:szCs w:val="21"/>
          <w:lang w:eastAsia="zh-CN"/>
        </w:rPr>
        <w:t xml:space="preserve"> </w:t>
      </w:r>
      <w:r>
        <w:rPr>
          <w:rFonts w:hint="eastAsia" w:ascii="Times New Roman" w:hAnsi="Times New Roman" w:eastAsiaTheme="minorEastAsia"/>
          <w:color w:val="auto"/>
          <w:sz w:val="21"/>
          <w:szCs w:val="21"/>
          <w:vertAlign w:val="superscript"/>
          <w:lang w:eastAsia="zh-CN"/>
        </w:rPr>
        <w:t>[42-43]</w:t>
      </w:r>
      <w:r>
        <w:rPr>
          <w:rFonts w:ascii="Times New Roman" w:hAnsi="Times New Roman" w:eastAsiaTheme="minorEastAsia"/>
          <w:color w:val="auto"/>
          <w:sz w:val="21"/>
          <w:szCs w:val="21"/>
          <w:lang w:eastAsia="zh-CN"/>
        </w:rPr>
        <w:t>. The basic formulation includes a discharge continuity condition and a dynamic compatibility condition.</w:t>
      </w:r>
    </w:p>
    <w:p w14:paraId="2896CC06">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(1) Discharge continuity condition. The inflow to and outflow from each junction must balance the rate of change in water storage within the junction control volume, that is</w:t>
      </w: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40"/>
        <w:gridCol w:w="2840"/>
        <w:gridCol w:w="2842"/>
      </w:tblGrid>
      <w:tr w14:paraId="508E2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66" w:type="pct"/>
            <w:vAlign w:val="center"/>
          </w:tcPr>
          <w:p w14:paraId="3C1DCCE2">
            <w:pPr>
              <w:pStyle w:val="34"/>
              <w:ind w:left="0" w:firstLine="420" w:firstLineChars="200"/>
              <w:rPr>
                <w:rFonts w:ascii="Times New Roman" w:hAnsi="Times New Roman" w:eastAsiaTheme="minorEastAsia"/>
                <w:color w:val="auto"/>
                <w:sz w:val="21"/>
                <w:szCs w:val="21"/>
              </w:rPr>
            </w:pPr>
          </w:p>
        </w:tc>
        <w:tc>
          <w:tcPr>
            <w:tcW w:w="1666" w:type="pct"/>
            <w:vAlign w:val="center"/>
          </w:tcPr>
          <w:p w14:paraId="5E49D79C">
            <w:pPr>
              <w:pStyle w:val="34"/>
              <w:ind w:left="0" w:firstLine="420" w:firstLineChars="200"/>
              <w:jc w:val="center"/>
              <w:rPr>
                <w:rFonts w:ascii="Times New Roman" w:hAnsi="Times New Roman" w:eastAsiaTheme="minorEastAsia"/>
                <w:color w:val="auto"/>
                <w:sz w:val="21"/>
                <w:szCs w:val="21"/>
              </w:rPr>
            </w:pPr>
            <w:r>
              <w:rPr>
                <w:rFonts w:ascii="Times New Roman" w:hAnsi="Times New Roman" w:eastAsiaTheme="minorEastAsia"/>
                <w:snapToGrid/>
                <w:color w:val="auto"/>
                <w:sz w:val="21"/>
                <w:szCs w:val="21"/>
              </w:rPr>
              <w:object>
                <v:shape id="_x0000_i1027" o:spt="75" type="#_x0000_t75" style="height:36.85pt;width:66.8pt;" o:ole="t" filled="f" o:preferrelative="t" stroked="f" coordsize="21600,21600">
                  <v:path/>
                  <v:fill on="f" focussize="0,0"/>
                  <v:stroke on="f" joinstyle="miter"/>
                  <v:imagedata r:id="rId16" o:title=""/>
                  <o:lock v:ext="edit" aspectratio="t"/>
                  <w10:wrap type="none"/>
                  <w10:anchorlock/>
                </v:shape>
                <o:OLEObject Type="Embed" ProgID="Equation.3" ShapeID="_x0000_i1027" DrawAspect="Content" ObjectID="_1468075727" r:id="rId15">
                  <o:LockedField>false</o:LockedField>
                </o:OLEObject>
              </w:object>
            </w:r>
          </w:p>
        </w:tc>
        <w:tc>
          <w:tcPr>
            <w:tcW w:w="1667" w:type="pct"/>
            <w:vAlign w:val="center"/>
          </w:tcPr>
          <w:p w14:paraId="51E16FE3">
            <w:pPr>
              <w:pStyle w:val="34"/>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(3)</w:t>
            </w:r>
          </w:p>
        </w:tc>
      </w:tr>
    </w:tbl>
    <w:p w14:paraId="7871013D">
      <w:pPr>
        <w:pStyle w:val="34"/>
        <w:ind w:left="0" w:firstLine="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where </w:t>
      </w:r>
      <w:r>
        <w:rPr>
          <w:rFonts w:ascii="Times New Roman" w:hAnsi="Times New Roman" w:eastAsiaTheme="minorEastAsia"/>
          <w:i/>
          <w:iCs/>
          <w:color w:val="auto"/>
          <w:sz w:val="21"/>
          <w:szCs w:val="21"/>
          <w:lang w:eastAsia="zh-CN"/>
        </w:rPr>
        <w:t>Ω</w:t>
      </w:r>
      <w:r>
        <w:rPr>
          <w:rFonts w:ascii="Times New Roman" w:hAnsi="Times New Roman" w:eastAsiaTheme="minorEastAsia"/>
          <w:color w:val="auto"/>
          <w:sz w:val="21"/>
          <w:szCs w:val="21"/>
          <w:lang w:eastAsia="zh-CN"/>
        </w:rPr>
        <w:t xml:space="preserve"> is the storage volume of the junction control body. When the junction is generalized as a geometric point, </w:t>
      </w:r>
      <w:r>
        <w:rPr>
          <w:rFonts w:ascii="Times New Roman" w:hAnsi="Times New Roman" w:eastAsiaTheme="minorEastAsia"/>
          <w:i/>
          <w:iCs/>
          <w:color w:val="auto"/>
          <w:sz w:val="21"/>
          <w:szCs w:val="21"/>
          <w:lang w:eastAsia="zh-CN"/>
        </w:rPr>
        <w:t>Ω</w:t>
      </w:r>
      <w:r>
        <w:rPr>
          <w:rFonts w:ascii="Times New Roman" w:hAnsi="Times New Roman" w:eastAsiaTheme="minorEastAsia"/>
          <w:color w:val="auto"/>
          <w:sz w:val="21"/>
          <w:szCs w:val="21"/>
          <w:lang w:eastAsia="zh-CN"/>
        </w:rPr>
        <w:t xml:space="preserve"> = 0 can be assumed, and Equation (3) reduces to the algebraic sum of inflows and outflows at the node being zero, that is, local mass conservation.</w:t>
      </w:r>
    </w:p>
    <w:p w14:paraId="22498689">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(2) Dynamic compatibility condition. If the flow near the junction is mild and local energy losses and abrupt water-level changes can be neglected, the water levels at the end sections of all channels connected to the junction are assumed to be equal, that is</w:t>
      </w:r>
    </w:p>
    <w:tbl>
      <w:tblPr>
        <w:tblStyle w:val="13"/>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758"/>
        <w:gridCol w:w="3005"/>
        <w:gridCol w:w="2759"/>
      </w:tblGrid>
      <w:tr w14:paraId="0CDD6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618" w:type="pct"/>
          </w:tcPr>
          <w:p w14:paraId="79BAF588">
            <w:pPr>
              <w:pStyle w:val="47"/>
              <w:ind w:left="0" w:firstLine="420" w:firstLineChars="200"/>
              <w:jc w:val="left"/>
              <w:rPr>
                <w:rFonts w:ascii="Times New Roman" w:hAnsi="Times New Roman" w:eastAsiaTheme="minorEastAsia"/>
                <w:color w:val="auto"/>
                <w:sz w:val="21"/>
                <w:szCs w:val="21"/>
              </w:rPr>
            </w:pPr>
          </w:p>
        </w:tc>
        <w:tc>
          <w:tcPr>
            <w:tcW w:w="1763" w:type="pct"/>
          </w:tcPr>
          <w:p w14:paraId="146A525A">
            <w:pPr>
              <w:pStyle w:val="47"/>
              <w:ind w:left="0" w:firstLine="420" w:firstLineChars="200"/>
              <w:jc w:val="center"/>
              <w:rPr>
                <w:rFonts w:ascii="Times New Roman" w:hAnsi="Times New Roman" w:eastAsiaTheme="minorEastAsia"/>
                <w:color w:val="auto"/>
                <w:sz w:val="21"/>
                <w:szCs w:val="21"/>
              </w:rPr>
            </w:pPr>
            <w:r>
              <w:rPr>
                <w:rFonts w:ascii="Times New Roman" w:hAnsi="Times New Roman" w:eastAsiaTheme="minorEastAsia"/>
                <w:snapToGrid/>
                <w:color w:val="auto"/>
                <w:sz w:val="21"/>
                <w:szCs w:val="21"/>
              </w:rPr>
              <w:object>
                <v:shape id="_x0000_i1028" o:spt="75" type="#_x0000_t75" style="height:24.2pt;width:119.8pt;" o:ole="t" filled="f" o:preferrelative="t" stroked="f" coordsize="21600,21600">
                  <v:path/>
                  <v:fill on="f" focussize="0,0"/>
                  <v:stroke on="f" joinstyle="miter"/>
                  <v:imagedata r:id="rId18" o:title=""/>
                  <o:lock v:ext="edit" aspectratio="t"/>
                  <w10:wrap type="none"/>
                  <w10:anchorlock/>
                </v:shape>
                <o:OLEObject Type="Embed" ProgID="Equation.DSMT4" ShapeID="_x0000_i1028" DrawAspect="Content" ObjectID="_1468075728" r:id="rId17">
                  <o:LockedField>false</o:LockedField>
                </o:OLEObject>
              </w:object>
            </w:r>
          </w:p>
        </w:tc>
        <w:tc>
          <w:tcPr>
            <w:tcW w:w="1619" w:type="pct"/>
            <w:vAlign w:val="center"/>
          </w:tcPr>
          <w:p w14:paraId="4DE60868">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(4)</w:t>
            </w:r>
          </w:p>
        </w:tc>
      </w:tr>
    </w:tbl>
    <w:p w14:paraId="242F0CA6">
      <w:pPr>
        <w:pStyle w:val="34"/>
        <w:ind w:left="0" w:firstLine="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where </w:t>
      </w:r>
      <w:r>
        <w:rPr>
          <w:rFonts w:ascii="Times New Roman" w:hAnsi="Times New Roman" w:eastAsiaTheme="minorEastAsia"/>
          <w:i/>
          <w:iCs/>
          <w:color w:val="auto"/>
          <w:sz w:val="21"/>
          <w:szCs w:val="21"/>
          <w:lang w:eastAsia="zh-CN"/>
        </w:rPr>
        <w:t>m</w:t>
      </w:r>
      <w:r>
        <w:rPr>
          <w:rFonts w:ascii="Times New Roman" w:hAnsi="Times New Roman" w:eastAsiaTheme="minorEastAsia"/>
          <w:color w:val="auto"/>
          <w:sz w:val="21"/>
          <w:szCs w:val="21"/>
          <w:lang w:eastAsia="zh-CN"/>
        </w:rPr>
        <w:t xml:space="preserve"> is the number of channels connected to the junction and </w:t>
      </w:r>
      <w:r>
        <w:rPr>
          <w:rFonts w:ascii="Times New Roman" w:hAnsi="Times New Roman" w:eastAsiaTheme="minorEastAsia"/>
          <w:i/>
          <w:iCs/>
          <w:color w:val="auto"/>
          <w:sz w:val="21"/>
          <w:szCs w:val="21"/>
          <w:lang w:eastAsia="zh-CN"/>
        </w:rPr>
        <w:t>Z</w:t>
      </w:r>
      <w:r>
        <w:rPr>
          <w:rFonts w:ascii="Times New Roman" w:hAnsi="Times New Roman" w:eastAsiaTheme="minorEastAsia"/>
          <w:color w:val="auto"/>
          <w:sz w:val="21"/>
          <w:szCs w:val="21"/>
          <w:vertAlign w:val="subscript"/>
          <w:lang w:eastAsia="zh-CN"/>
        </w:rPr>
        <w:t>p</w:t>
      </w:r>
      <w:r>
        <w:rPr>
          <w:rFonts w:ascii="Times New Roman" w:hAnsi="Times New Roman" w:eastAsiaTheme="minorEastAsia"/>
          <w:color w:val="auto"/>
          <w:sz w:val="21"/>
          <w:szCs w:val="21"/>
          <w:lang w:eastAsia="zh-CN"/>
        </w:rPr>
        <w:t xml:space="preserve"> is the common water level at the junction. In essence, this condition treats the node as a connection point with a locally continuous free surface, thereby enabling simultaneous solution of the water-surface profiles in the mainstream and tributaries.</w:t>
      </w:r>
    </w:p>
    <w:p w14:paraId="3C0504FC">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It should be noted that this junction treatment is a simplified representation of mainstream–tributary confluences in a one-dimensional river-network model. During extreme flood events, local momentum exchange, energy loss, secondary circulation, and abrupt water-level variation may occur near major confluences. These local hydraulic effects cannot be fully resolved by the present one-dimensional formulation. However, this simplification is considered acceptable for the objective of this study, because the analysis focuses on reservoir-scale flood routing, longitudinal water-level processes, and operating-water-level thresholds rather than detailed local flow structures at individual confluences. The possible influence of this simplification was further reduced through roughness calibration, segmented storage matching, and inversion of uncontrolled interval inflow. Nevertheless, local errors may still occur near tributary confluences, and this limitation should be considered when interpreting the simulated water levels at nearby sections.</w:t>
      </w:r>
    </w:p>
    <w:p w14:paraId="279D18BB">
      <w:pPr>
        <w:pStyle w:val="34"/>
        <w:ind w:left="0" w:firstLine="420" w:firstLineChars="200"/>
        <w:rPr>
          <w:rFonts w:ascii="Times New Roman" w:hAnsi="Times New Roman" w:eastAsiaTheme="minorEastAsia"/>
          <w:color w:val="auto"/>
          <w:sz w:val="21"/>
          <w:szCs w:val="21"/>
          <w:lang w:eastAsia="zh-CN"/>
        </w:rPr>
      </w:pPr>
    </w:p>
    <w:p w14:paraId="50CA87F6">
      <w:pPr>
        <w:pStyle w:val="47"/>
        <w:ind w:left="0" w:firstLine="420" w:firstLineChars="200"/>
        <w:rPr>
          <w:rFonts w:ascii="Times New Roman" w:hAnsi="Times New Roman"/>
          <w:color w:val="auto"/>
          <w:sz w:val="21"/>
          <w:szCs w:val="21"/>
        </w:rPr>
      </w:pPr>
      <w:r>
        <w:rPr>
          <w:rFonts w:ascii="Times New Roman" w:hAnsi="Times New Roman"/>
          <w:color w:val="auto"/>
          <w:sz w:val="21"/>
          <w:szCs w:val="21"/>
        </w:rPr>
        <w:t xml:space="preserve">2.2.3. </w:t>
      </w:r>
      <w:r>
        <w:rPr>
          <w:rFonts w:ascii="Times New Roman" w:hAnsi="Times New Roman"/>
          <w:i/>
          <w:iCs/>
          <w:color w:val="auto"/>
          <w:sz w:val="21"/>
          <w:szCs w:val="21"/>
        </w:rPr>
        <w:t>Boundary conditions</w:t>
      </w:r>
    </w:p>
    <w:p w14:paraId="04CED3E5">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The model solves the entire mainstream–tributary network as an integrated system rather than assigning independent boundaries to each channel. Flow hydrographs are prescribed at the upstream boundaries of the mainstream and tributaries entering the reservoir. At the downstream boundary, the water level at the dam front, the outflow hydrograph, or a stage-discharge relationship is specified depending on the simulation objective. In addition to the explicitly prescribed inflows from major tributaries, the remaining uncontrolled interval inflow is introduced into the continuity equation as lateral inflow and is subsequently corrected using a water-balance inversion method. In this way, the model accounts simultaneously for upstream inflow, tributary inflow, uncontrolled interval inflow, and dam-front control conditions in the reservoir water-level response.</w:t>
      </w:r>
    </w:p>
    <w:p w14:paraId="0DA39E69">
      <w:pPr>
        <w:pStyle w:val="34"/>
        <w:ind w:left="0" w:firstLine="420" w:firstLineChars="200"/>
        <w:rPr>
          <w:rFonts w:ascii="Times New Roman" w:hAnsi="Times New Roman" w:eastAsiaTheme="minorEastAsia"/>
          <w:color w:val="auto"/>
          <w:sz w:val="21"/>
          <w:szCs w:val="21"/>
          <w:lang w:eastAsia="zh-CN"/>
        </w:rPr>
      </w:pPr>
    </w:p>
    <w:p w14:paraId="5900C7AF">
      <w:pPr>
        <w:pStyle w:val="47"/>
        <w:ind w:left="0" w:firstLine="420" w:firstLineChars="200"/>
        <w:rPr>
          <w:rFonts w:ascii="Times New Roman" w:hAnsi="Times New Roman"/>
          <w:color w:val="auto"/>
          <w:sz w:val="21"/>
          <w:szCs w:val="21"/>
        </w:rPr>
      </w:pPr>
      <w:r>
        <w:rPr>
          <w:rFonts w:ascii="Times New Roman" w:hAnsi="Times New Roman"/>
          <w:color w:val="auto"/>
          <w:sz w:val="21"/>
          <w:szCs w:val="21"/>
        </w:rPr>
        <w:t xml:space="preserve">2.2.4. </w:t>
      </w:r>
      <w:r>
        <w:rPr>
          <w:rFonts w:ascii="Times New Roman" w:hAnsi="Times New Roman"/>
          <w:i/>
          <w:iCs/>
          <w:color w:val="auto"/>
          <w:sz w:val="21"/>
          <w:szCs w:val="21"/>
        </w:rPr>
        <w:t>Numerical solution method</w:t>
      </w:r>
    </w:p>
    <w:p w14:paraId="0DF95E7E">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To improve the stability of unsteady-flow calculations for long river reaches with many cross sections, the Saint-Venant equations were discretized with the Preissmann four-point implicit scheme. This method applies weighted differencing at two adjacent spatial sections and two adjacent time levels, uses forward-difference averaging for time derivatives, and uses weighted average differences for spatial derivatives. It offers good stability and is well suited to large river networks under the long-distance backwater conditions of the TGR.</w:t>
      </w:r>
    </w:p>
    <w:p w14:paraId="32AABA0D">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For an arbitrary variable f, the four-point implicit discretization can be written as</w:t>
      </w:r>
    </w:p>
    <w:tbl>
      <w:tblPr>
        <w:tblStyle w:val="13"/>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0"/>
        <w:gridCol w:w="341"/>
        <w:gridCol w:w="3034"/>
        <w:gridCol w:w="336"/>
        <w:gridCol w:w="2401"/>
      </w:tblGrid>
      <w:tr w14:paraId="4D007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4" w:type="pct"/>
            <w:gridSpan w:val="2"/>
            <w:vAlign w:val="center"/>
          </w:tcPr>
          <w:p w14:paraId="5AB059FD">
            <w:pPr>
              <w:pStyle w:val="47"/>
              <w:ind w:left="0" w:firstLine="420" w:firstLineChars="200"/>
              <w:jc w:val="left"/>
              <w:rPr>
                <w:rFonts w:ascii="Times New Roman" w:hAnsi="Times New Roman" w:eastAsiaTheme="minorEastAsia"/>
                <w:color w:val="auto"/>
                <w:sz w:val="21"/>
                <w:szCs w:val="21"/>
              </w:rPr>
            </w:pPr>
          </w:p>
        </w:tc>
        <w:tc>
          <w:tcPr>
            <w:tcW w:w="1780" w:type="pct"/>
            <w:vAlign w:val="center"/>
          </w:tcPr>
          <w:p w14:paraId="3A7933E0">
            <w:pPr>
              <w:pStyle w:val="47"/>
              <w:ind w:left="0" w:firstLine="420" w:firstLineChars="200"/>
              <w:jc w:val="left"/>
              <w:rPr>
                <w:rFonts w:ascii="Times New Roman" w:hAnsi="Times New Roman" w:eastAsiaTheme="minorEastAsia"/>
                <w:color w:val="auto"/>
                <w:sz w:val="21"/>
                <w:szCs w:val="21"/>
              </w:rPr>
            </w:pPr>
            <w:r>
              <w:rPr>
                <w:rFonts w:ascii="Times New Roman" w:hAnsi="Times New Roman" w:eastAsiaTheme="minorEastAsia"/>
                <w:snapToGrid/>
                <w:color w:val="auto"/>
                <w:sz w:val="21"/>
                <w:szCs w:val="21"/>
              </w:rPr>
              <w:object>
                <v:shape id="_x0000_i1029" o:spt="75" type="#_x0000_t75" style="height:36.85pt;width:96.2pt;" o:ole="t" filled="f" o:preferrelative="t" stroked="f" coordsize="21600,21600">
                  <v:path/>
                  <v:fill on="f" focussize="0,0"/>
                  <v:stroke on="f" joinstyle="miter"/>
                  <v:imagedata r:id="rId20" o:title=""/>
                  <o:lock v:ext="edit" aspectratio="t"/>
                  <w10:wrap type="none"/>
                  <w10:anchorlock/>
                </v:shape>
                <o:OLEObject Type="Embed" ProgID="Equation.DSMT4" ShapeID="_x0000_i1029" DrawAspect="Content" ObjectID="_1468075729" r:id="rId19">
                  <o:LockedField>false</o:LockedField>
                </o:OLEObject>
              </w:object>
            </w:r>
          </w:p>
        </w:tc>
        <w:tc>
          <w:tcPr>
            <w:tcW w:w="1606" w:type="pct"/>
            <w:gridSpan w:val="2"/>
            <w:vAlign w:val="center"/>
          </w:tcPr>
          <w:p w14:paraId="56C7E09B">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(5)</w:t>
            </w:r>
          </w:p>
        </w:tc>
      </w:tr>
      <w:tr w14:paraId="2CDA2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380" w:type="pct"/>
            <w:vAlign w:val="center"/>
          </w:tcPr>
          <w:p w14:paraId="260A20C1">
            <w:pPr>
              <w:pStyle w:val="47"/>
              <w:ind w:left="0" w:firstLine="420" w:firstLineChars="200"/>
              <w:jc w:val="left"/>
              <w:rPr>
                <w:rFonts w:ascii="Times New Roman" w:hAnsi="Times New Roman" w:eastAsiaTheme="minorEastAsia"/>
                <w:color w:val="auto"/>
                <w:sz w:val="21"/>
                <w:szCs w:val="21"/>
              </w:rPr>
            </w:pPr>
          </w:p>
        </w:tc>
        <w:tc>
          <w:tcPr>
            <w:tcW w:w="2177" w:type="pct"/>
            <w:gridSpan w:val="3"/>
            <w:vAlign w:val="center"/>
          </w:tcPr>
          <w:p w14:paraId="6D974F06">
            <w:pPr>
              <w:pStyle w:val="47"/>
              <w:ind w:left="0" w:firstLine="420" w:firstLineChars="200"/>
              <w:jc w:val="left"/>
              <w:rPr>
                <w:rFonts w:ascii="Times New Roman" w:hAnsi="Times New Roman" w:eastAsiaTheme="minorEastAsia"/>
                <w:color w:val="auto"/>
                <w:sz w:val="21"/>
                <w:szCs w:val="21"/>
              </w:rPr>
            </w:pPr>
            <w:r>
              <w:rPr>
                <w:rFonts w:ascii="Times New Roman" w:hAnsi="Times New Roman" w:eastAsiaTheme="minorEastAsia"/>
                <w:snapToGrid/>
                <w:color w:val="auto"/>
                <w:sz w:val="21"/>
                <w:szCs w:val="21"/>
              </w:rPr>
              <w:object>
                <v:shape id="_x0000_i1030" o:spt="75" type="#_x0000_t75" style="height:29.95pt;width:138.8pt;" o:ole="t" filled="f" o:preferrelative="t" stroked="f" coordsize="21600,21600">
                  <v:path/>
                  <v:fill on="f" focussize="0,0"/>
                  <v:stroke on="f" joinstyle="miter"/>
                  <v:imagedata r:id="rId22" o:title=""/>
                  <o:lock v:ext="edit" aspectratio="t"/>
                  <w10:wrap type="none"/>
                  <w10:anchorlock/>
                </v:shape>
                <o:OLEObject Type="Embed" ProgID="Equation.DSMT4" ShapeID="_x0000_i1030" DrawAspect="Content" ObjectID="_1468075730" r:id="rId21">
                  <o:LockedField>false</o:LockedField>
                </o:OLEObject>
              </w:object>
            </w:r>
          </w:p>
        </w:tc>
        <w:tc>
          <w:tcPr>
            <w:tcW w:w="1442" w:type="pct"/>
            <w:vAlign w:val="center"/>
          </w:tcPr>
          <w:p w14:paraId="60BF7AE2">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(6)</w:t>
            </w:r>
          </w:p>
        </w:tc>
      </w:tr>
      <w:tr w14:paraId="2B688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14" w:type="pct"/>
            <w:vAlign w:val="center"/>
          </w:tcPr>
          <w:p w14:paraId="48ACFB52">
            <w:pPr>
              <w:pStyle w:val="47"/>
              <w:ind w:left="0" w:firstLine="420" w:firstLineChars="200"/>
              <w:jc w:val="left"/>
              <w:rPr>
                <w:rFonts w:ascii="Times New Roman" w:hAnsi="Times New Roman" w:eastAsiaTheme="minorEastAsia"/>
                <w:color w:val="auto"/>
                <w:sz w:val="21"/>
                <w:szCs w:val="21"/>
              </w:rPr>
            </w:pPr>
          </w:p>
        </w:tc>
        <w:tc>
          <w:tcPr>
            <w:tcW w:w="2154" w:type="pct"/>
            <w:gridSpan w:val="3"/>
            <w:vAlign w:val="center"/>
          </w:tcPr>
          <w:p w14:paraId="2F3247FD">
            <w:pPr>
              <w:pStyle w:val="47"/>
              <w:ind w:left="0" w:firstLine="420" w:firstLineChars="200"/>
              <w:jc w:val="left"/>
              <w:rPr>
                <w:rFonts w:ascii="Times New Roman" w:hAnsi="Times New Roman" w:eastAsiaTheme="minorEastAsia"/>
                <w:color w:val="auto"/>
                <w:sz w:val="21"/>
                <w:szCs w:val="21"/>
              </w:rPr>
            </w:pPr>
            <w:r>
              <w:rPr>
                <w:rFonts w:ascii="Times New Roman" w:hAnsi="Times New Roman" w:eastAsiaTheme="minorEastAsia"/>
                <w:snapToGrid/>
                <w:color w:val="auto"/>
                <w:sz w:val="21"/>
                <w:szCs w:val="21"/>
              </w:rPr>
              <w:object>
                <v:shape id="_x0000_i1031" o:spt="75" type="#_x0000_t75" style="height:29.95pt;width:156.65pt;" o:ole="t" filled="f" o:preferrelative="t" stroked="f" coordsize="21600,21600">
                  <v:path/>
                  <v:fill on="f" focussize="0,0"/>
                  <v:stroke on="f" joinstyle="miter"/>
                  <v:imagedata r:id="rId24" o:title=""/>
                  <o:lock v:ext="edit" aspectratio="t"/>
                  <w10:wrap type="none"/>
                  <w10:anchorlock/>
                </v:shape>
                <o:OLEObject Type="Embed" ProgID="Equation.DSMT4" ShapeID="_x0000_i1031" DrawAspect="Content" ObjectID="_1468075731" r:id="rId23">
                  <o:LockedField>false</o:LockedField>
                </o:OLEObject>
              </w:object>
            </w:r>
          </w:p>
        </w:tc>
        <w:tc>
          <w:tcPr>
            <w:tcW w:w="1432" w:type="pct"/>
            <w:vAlign w:val="center"/>
          </w:tcPr>
          <w:p w14:paraId="37008E86">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(7)</w:t>
            </w:r>
          </w:p>
        </w:tc>
      </w:tr>
    </w:tbl>
    <w:p w14:paraId="651523F3">
      <w:pPr>
        <w:pStyle w:val="34"/>
        <w:ind w:left="0" w:firstLine="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where </w:t>
      </w:r>
      <w:r>
        <w:rPr>
          <w:rFonts w:ascii="Times New Roman" w:hAnsi="Times New Roman" w:eastAsiaTheme="minorEastAsia"/>
          <w:i/>
          <w:iCs/>
          <w:color w:val="auto"/>
          <w:sz w:val="21"/>
          <w:szCs w:val="21"/>
          <w:lang w:eastAsia="zh-CN"/>
        </w:rPr>
        <w:t>j</w:t>
      </w:r>
      <w:r>
        <w:rPr>
          <w:rFonts w:ascii="Times New Roman" w:hAnsi="Times New Roman" w:eastAsiaTheme="minorEastAsia"/>
          <w:color w:val="auto"/>
          <w:sz w:val="21"/>
          <w:szCs w:val="21"/>
          <w:lang w:eastAsia="zh-CN"/>
        </w:rPr>
        <w:t xml:space="preserve"> is the time-level index; Δ</w:t>
      </w:r>
      <w:r>
        <w:rPr>
          <w:rFonts w:ascii="Times New Roman" w:hAnsi="Times New Roman" w:eastAsiaTheme="minorEastAsia"/>
          <w:i/>
          <w:iCs/>
          <w:color w:val="auto"/>
          <w:sz w:val="21"/>
          <w:szCs w:val="21"/>
          <w:lang w:eastAsia="zh-CN"/>
        </w:rPr>
        <w:t>t</w:t>
      </w:r>
      <w:r>
        <w:rPr>
          <w:rFonts w:ascii="Times New Roman" w:hAnsi="Times New Roman" w:eastAsiaTheme="minorEastAsia"/>
          <w:color w:val="auto"/>
          <w:sz w:val="21"/>
          <w:szCs w:val="21"/>
          <w:lang w:eastAsia="zh-CN"/>
        </w:rPr>
        <w:t xml:space="preserve"> and Δ</w:t>
      </w:r>
      <w:r>
        <w:rPr>
          <w:rFonts w:ascii="Times New Roman" w:hAnsi="Times New Roman" w:eastAsiaTheme="minorEastAsia"/>
          <w:i/>
          <w:iCs/>
          <w:color w:val="auto"/>
          <w:sz w:val="21"/>
          <w:szCs w:val="21"/>
          <w:lang w:eastAsia="zh-CN"/>
        </w:rPr>
        <w:t>x</w:t>
      </w:r>
      <w:r>
        <w:rPr>
          <w:rFonts w:ascii="Times New Roman" w:hAnsi="Times New Roman" w:eastAsiaTheme="minorEastAsia"/>
          <w:color w:val="auto"/>
          <w:sz w:val="21"/>
          <w:szCs w:val="21"/>
          <w:lang w:eastAsia="zh-CN"/>
        </w:rPr>
        <w:t xml:space="preserve"> are the time and space steps, respectively; and </w:t>
      </w:r>
      <w:r>
        <w:rPr>
          <w:rFonts w:ascii="Times New Roman" w:hAnsi="Times New Roman" w:eastAsiaTheme="minorEastAsia"/>
          <w:i/>
          <w:iCs/>
          <w:color w:val="auto"/>
          <w:sz w:val="21"/>
          <w:szCs w:val="21"/>
          <w:lang w:eastAsia="zh-CN"/>
        </w:rPr>
        <w:t>θ</w:t>
      </w:r>
      <w:r>
        <w:rPr>
          <w:rFonts w:ascii="Times New Roman" w:hAnsi="Times New Roman" w:eastAsiaTheme="minorEastAsia"/>
          <w:color w:val="auto"/>
          <w:sz w:val="21"/>
          <w:szCs w:val="21"/>
          <w:lang w:eastAsia="zh-CN"/>
        </w:rPr>
        <w:t xml:space="preserve"> is the weighting coefficient, with 0 ≤ </w:t>
      </w:r>
      <w:r>
        <w:rPr>
          <w:rFonts w:ascii="Times New Roman" w:hAnsi="Times New Roman" w:eastAsiaTheme="minorEastAsia"/>
          <w:i/>
          <w:iCs/>
          <w:color w:val="auto"/>
          <w:sz w:val="21"/>
          <w:szCs w:val="21"/>
          <w:lang w:eastAsia="zh-CN"/>
        </w:rPr>
        <w:t>θ</w:t>
      </w:r>
      <w:r>
        <w:rPr>
          <w:rFonts w:ascii="Times New Roman" w:hAnsi="Times New Roman" w:eastAsiaTheme="minorEastAsia"/>
          <w:color w:val="auto"/>
          <w:sz w:val="21"/>
          <w:szCs w:val="21"/>
          <w:lang w:eastAsia="zh-CN"/>
        </w:rPr>
        <w:t xml:space="preserve"> ≤ 1. In this study, </w:t>
      </w:r>
      <w:r>
        <w:rPr>
          <w:rFonts w:ascii="Times New Roman" w:hAnsi="Times New Roman" w:eastAsiaTheme="minorEastAsia"/>
          <w:i/>
          <w:iCs/>
          <w:color w:val="auto"/>
          <w:sz w:val="21"/>
          <w:szCs w:val="21"/>
          <w:lang w:eastAsia="zh-CN"/>
        </w:rPr>
        <w:t>θ</w:t>
      </w:r>
      <w:r>
        <w:rPr>
          <w:rFonts w:ascii="Times New Roman" w:hAnsi="Times New Roman" w:eastAsiaTheme="minorEastAsia"/>
          <w:color w:val="auto"/>
          <w:sz w:val="21"/>
          <w:szCs w:val="21"/>
          <w:lang w:eastAsia="zh-CN"/>
        </w:rPr>
        <w:t xml:space="preserve"> was set to 0.</w:t>
      </w:r>
      <w:r>
        <w:rPr>
          <w:rFonts w:hint="eastAsia" w:ascii="Times New Roman" w:hAnsi="Times New Roman" w:eastAsiaTheme="minorEastAsia"/>
          <w:color w:val="auto"/>
          <w:sz w:val="21"/>
          <w:szCs w:val="21"/>
          <w:lang w:eastAsia="zh-CN"/>
        </w:rPr>
        <w:t>50</w:t>
      </w:r>
      <w:r>
        <w:rPr>
          <w:rFonts w:ascii="Times New Roman" w:hAnsi="Times New Roman" w:eastAsiaTheme="minorEastAsia"/>
          <w:color w:val="auto"/>
          <w:sz w:val="21"/>
          <w:szCs w:val="21"/>
          <w:lang w:eastAsia="zh-CN"/>
        </w:rPr>
        <w:t xml:space="preserve"> to balance numerical stability and computational accuracy in the long river reaches of the TGR.</w:t>
      </w:r>
    </w:p>
    <w:p w14:paraId="771114BD">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Substituting Equations (6) and (7) into the continuity and momentum equations yields a system of algebraic difference equations for the unknown discharge and water level at the two ends of each river reach.</w:t>
      </w:r>
    </w:p>
    <w:p w14:paraId="65559357">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After discretization, the continuity equation can be rearranged as</w:t>
      </w:r>
    </w:p>
    <w:tbl>
      <w:tblPr>
        <w:tblStyle w:val="13"/>
        <w:tblW w:w="5000" w:type="pct"/>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09"/>
        <w:gridCol w:w="3301"/>
        <w:gridCol w:w="2612"/>
      </w:tblGrid>
      <w:tr w14:paraId="157FD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right"/>
        </w:trPr>
        <w:tc>
          <w:tcPr>
            <w:tcW w:w="1531" w:type="pct"/>
            <w:vAlign w:val="center"/>
          </w:tcPr>
          <w:p w14:paraId="1F02540A">
            <w:pPr>
              <w:pStyle w:val="47"/>
              <w:ind w:left="0" w:firstLine="420" w:firstLineChars="200"/>
              <w:jc w:val="left"/>
              <w:rPr>
                <w:rFonts w:ascii="Times New Roman" w:hAnsi="Times New Roman" w:eastAsiaTheme="minorEastAsia"/>
                <w:b/>
                <w:bCs/>
                <w:color w:val="auto"/>
                <w:sz w:val="21"/>
                <w:szCs w:val="21"/>
              </w:rPr>
            </w:pPr>
          </w:p>
        </w:tc>
        <w:tc>
          <w:tcPr>
            <w:tcW w:w="1937" w:type="pct"/>
            <w:vAlign w:val="center"/>
          </w:tcPr>
          <w:p w14:paraId="375EB888">
            <w:pPr>
              <w:pStyle w:val="47"/>
              <w:ind w:left="0" w:firstLine="420" w:firstLineChars="200"/>
              <w:jc w:val="left"/>
              <w:rPr>
                <w:rFonts w:ascii="Times New Roman" w:hAnsi="Times New Roman" w:eastAsiaTheme="minorEastAsia"/>
                <w:b/>
                <w:bCs/>
                <w:color w:val="auto"/>
                <w:sz w:val="21"/>
                <w:szCs w:val="21"/>
              </w:rPr>
            </w:pPr>
            <w:r>
              <w:rPr>
                <w:rFonts w:ascii="Times New Roman" w:hAnsi="Times New Roman" w:eastAsiaTheme="minorEastAsia"/>
                <w:snapToGrid/>
                <w:color w:val="auto"/>
                <w:sz w:val="21"/>
                <w:szCs w:val="21"/>
              </w:rPr>
              <w:object>
                <v:shape id="_x0000_i1032" o:spt="75" type="#_x0000_t75" style="height:19pt;width:144pt;" o:ole="t" filled="f" o:preferrelative="t" stroked="f" coordsize="21600,21600">
                  <v:path/>
                  <v:fill on="f" focussize="0,0"/>
                  <v:stroke on="f" joinstyle="miter"/>
                  <v:imagedata r:id="rId26" o:title=""/>
                  <o:lock v:ext="edit" aspectratio="t"/>
                  <w10:wrap type="none"/>
                  <w10:anchorlock/>
                </v:shape>
                <o:OLEObject Type="Embed" ProgID="Equation.DSMT4" ShapeID="_x0000_i1032" DrawAspect="Content" ObjectID="_1468075732" r:id="rId25">
                  <o:LockedField>false</o:LockedField>
                </o:OLEObject>
              </w:object>
            </w:r>
          </w:p>
        </w:tc>
        <w:tc>
          <w:tcPr>
            <w:tcW w:w="1532" w:type="pct"/>
            <w:vAlign w:val="center"/>
          </w:tcPr>
          <w:p w14:paraId="47DA1C63">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(8)</w:t>
            </w:r>
          </w:p>
        </w:tc>
      </w:tr>
    </w:tbl>
    <w:p w14:paraId="64D2A2FF">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After discretization, the momentum equation can be rearranged as</w:t>
      </w:r>
    </w:p>
    <w:tbl>
      <w:tblPr>
        <w:tblStyle w:val="13"/>
        <w:tblW w:w="5000" w:type="pct"/>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95"/>
        <w:gridCol w:w="3693"/>
        <w:gridCol w:w="2434"/>
      </w:tblGrid>
      <w:tr w14:paraId="3B63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right"/>
        </w:trPr>
        <w:tc>
          <w:tcPr>
            <w:tcW w:w="1405" w:type="pct"/>
            <w:vAlign w:val="center"/>
          </w:tcPr>
          <w:p w14:paraId="7FC40C91">
            <w:pPr>
              <w:pStyle w:val="47"/>
              <w:ind w:left="0" w:firstLine="420" w:firstLineChars="200"/>
              <w:jc w:val="left"/>
              <w:rPr>
                <w:rFonts w:ascii="Times New Roman" w:hAnsi="Times New Roman" w:eastAsiaTheme="minorEastAsia"/>
                <w:b/>
                <w:bCs/>
                <w:color w:val="auto"/>
                <w:sz w:val="21"/>
                <w:szCs w:val="21"/>
              </w:rPr>
            </w:pPr>
          </w:p>
        </w:tc>
        <w:tc>
          <w:tcPr>
            <w:tcW w:w="2167" w:type="pct"/>
            <w:vAlign w:val="center"/>
          </w:tcPr>
          <w:p w14:paraId="1F230127">
            <w:pPr>
              <w:pStyle w:val="47"/>
              <w:ind w:left="0" w:firstLine="420" w:firstLineChars="200"/>
              <w:jc w:val="left"/>
              <w:rPr>
                <w:rFonts w:ascii="Times New Roman" w:hAnsi="Times New Roman" w:eastAsiaTheme="minorEastAsia"/>
                <w:b/>
                <w:bCs/>
                <w:color w:val="auto"/>
                <w:sz w:val="21"/>
                <w:szCs w:val="21"/>
              </w:rPr>
            </w:pPr>
            <w:r>
              <w:rPr>
                <w:rFonts w:ascii="Times New Roman" w:hAnsi="Times New Roman" w:eastAsiaTheme="minorEastAsia"/>
                <w:snapToGrid/>
                <w:color w:val="auto"/>
                <w:sz w:val="21"/>
                <w:szCs w:val="21"/>
              </w:rPr>
              <w:object>
                <v:shape id="_x0000_i1033" o:spt="75" type="#_x0000_t75" style="height:19pt;width:161.85pt;" o:ole="t" filled="f" o:preferrelative="t" stroked="f" coordsize="21600,21600">
                  <v:path/>
                  <v:fill on="f" focussize="0,0"/>
                  <v:stroke on="f" joinstyle="miter"/>
                  <v:imagedata r:id="rId28" o:title=""/>
                  <o:lock v:ext="edit" aspectratio="t"/>
                  <w10:wrap type="none"/>
                  <w10:anchorlock/>
                </v:shape>
                <o:OLEObject Type="Embed" ProgID="Equation.DSMT4" ShapeID="_x0000_i1033" DrawAspect="Content" ObjectID="_1468075733" r:id="rId27">
                  <o:LockedField>false</o:LockedField>
                </o:OLEObject>
              </w:object>
            </w:r>
          </w:p>
        </w:tc>
        <w:tc>
          <w:tcPr>
            <w:tcW w:w="1428" w:type="pct"/>
            <w:vAlign w:val="center"/>
          </w:tcPr>
          <w:p w14:paraId="1CEFECFE">
            <w:pPr>
              <w:pStyle w:val="47"/>
              <w:ind w:left="0" w:firstLine="420" w:firstLineChars="200"/>
              <w:jc w:val="right"/>
              <w:rPr>
                <w:rFonts w:ascii="Times New Roman" w:hAnsi="Times New Roman" w:eastAsiaTheme="minorEastAsia"/>
                <w:color w:val="auto"/>
                <w:sz w:val="21"/>
                <w:szCs w:val="21"/>
              </w:rPr>
            </w:pPr>
            <w:r>
              <w:rPr>
                <w:rFonts w:ascii="Times New Roman" w:hAnsi="Times New Roman" w:eastAsiaTheme="minorEastAsia"/>
                <w:color w:val="auto"/>
                <w:sz w:val="21"/>
                <w:szCs w:val="21"/>
              </w:rPr>
              <w:t>(9)</w:t>
            </w:r>
          </w:p>
        </w:tc>
      </w:tr>
    </w:tbl>
    <w:p w14:paraId="75030515">
      <w:pPr>
        <w:pStyle w:val="34"/>
        <w:ind w:left="0" w:firstLine="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where </w:t>
      </w:r>
      <w:r>
        <w:rPr>
          <w:rFonts w:ascii="Times New Roman" w:hAnsi="Times New Roman" w:eastAsiaTheme="minorEastAsia"/>
          <w:i/>
          <w:iCs/>
          <w:color w:val="auto"/>
          <w:sz w:val="21"/>
          <w:szCs w:val="21"/>
          <w:lang w:eastAsia="zh-CN"/>
        </w:rPr>
        <w:t>C</w:t>
      </w:r>
      <w:r>
        <w:rPr>
          <w:rFonts w:ascii="Times New Roman" w:hAnsi="Times New Roman" w:eastAsiaTheme="minorEastAsia"/>
          <w:color w:val="auto"/>
          <w:sz w:val="21"/>
          <w:szCs w:val="21"/>
          <w:vertAlign w:val="subscript"/>
          <w:lang w:eastAsia="zh-CN"/>
        </w:rPr>
        <w:t>i</w:t>
      </w:r>
      <w:r>
        <w:rPr>
          <w:rFonts w:ascii="Times New Roman" w:hAnsi="Times New Roman" w:eastAsiaTheme="minorEastAsia"/>
          <w:color w:val="auto"/>
          <w:sz w:val="21"/>
          <w:szCs w:val="21"/>
          <w:lang w:eastAsia="zh-CN"/>
        </w:rPr>
        <w:t xml:space="preserve">, </w:t>
      </w:r>
      <w:r>
        <w:rPr>
          <w:rFonts w:ascii="Times New Roman" w:hAnsi="Times New Roman" w:eastAsiaTheme="minorEastAsia"/>
          <w:i/>
          <w:iCs/>
          <w:color w:val="auto"/>
          <w:sz w:val="21"/>
          <w:szCs w:val="21"/>
          <w:lang w:eastAsia="zh-CN"/>
        </w:rPr>
        <w:t>D</w:t>
      </w:r>
      <w:r>
        <w:rPr>
          <w:rFonts w:ascii="Times New Roman" w:hAnsi="Times New Roman" w:eastAsiaTheme="minorEastAsia"/>
          <w:color w:val="auto"/>
          <w:sz w:val="21"/>
          <w:szCs w:val="21"/>
          <w:vertAlign w:val="subscript"/>
          <w:lang w:eastAsia="zh-CN"/>
        </w:rPr>
        <w:t>i</w:t>
      </w:r>
      <w:r>
        <w:rPr>
          <w:rFonts w:ascii="Times New Roman" w:hAnsi="Times New Roman" w:eastAsiaTheme="minorEastAsia"/>
          <w:color w:val="auto"/>
          <w:sz w:val="21"/>
          <w:szCs w:val="21"/>
          <w:lang w:eastAsia="zh-CN"/>
        </w:rPr>
        <w:t xml:space="preserve">, </w:t>
      </w:r>
      <w:r>
        <w:rPr>
          <w:rFonts w:ascii="Times New Roman" w:hAnsi="Times New Roman" w:eastAsiaTheme="minorEastAsia"/>
          <w:i/>
          <w:iCs/>
          <w:color w:val="auto"/>
          <w:sz w:val="21"/>
          <w:szCs w:val="21"/>
          <w:lang w:eastAsia="zh-CN"/>
        </w:rPr>
        <w:t>G</w:t>
      </w:r>
      <w:r>
        <w:rPr>
          <w:rFonts w:ascii="Times New Roman" w:hAnsi="Times New Roman" w:eastAsiaTheme="minorEastAsia"/>
          <w:color w:val="auto"/>
          <w:sz w:val="21"/>
          <w:szCs w:val="21"/>
          <w:vertAlign w:val="subscript"/>
          <w:lang w:eastAsia="zh-CN"/>
        </w:rPr>
        <w:t>i</w:t>
      </w:r>
      <w:r>
        <w:rPr>
          <w:rFonts w:ascii="Times New Roman" w:hAnsi="Times New Roman" w:eastAsiaTheme="minorEastAsia"/>
          <w:color w:val="auto"/>
          <w:sz w:val="21"/>
          <w:szCs w:val="21"/>
          <w:lang w:eastAsia="zh-CN"/>
        </w:rPr>
        <w:t xml:space="preserve">, </w:t>
      </w:r>
      <w:r>
        <w:rPr>
          <w:rFonts w:ascii="Times New Roman" w:hAnsi="Times New Roman" w:eastAsiaTheme="minorEastAsia"/>
          <w:i/>
          <w:iCs/>
          <w:color w:val="auto"/>
          <w:sz w:val="21"/>
          <w:szCs w:val="21"/>
          <w:lang w:eastAsia="zh-CN"/>
        </w:rPr>
        <w:t>E</w:t>
      </w:r>
      <w:r>
        <w:rPr>
          <w:rFonts w:ascii="Times New Roman" w:hAnsi="Times New Roman" w:eastAsiaTheme="minorEastAsia"/>
          <w:color w:val="auto"/>
          <w:sz w:val="21"/>
          <w:szCs w:val="21"/>
          <w:vertAlign w:val="subscript"/>
          <w:lang w:eastAsia="zh-CN"/>
        </w:rPr>
        <w:t>i</w:t>
      </w:r>
      <w:r>
        <w:rPr>
          <w:rFonts w:ascii="Times New Roman" w:hAnsi="Times New Roman" w:eastAsiaTheme="minorEastAsia"/>
          <w:color w:val="auto"/>
          <w:sz w:val="21"/>
          <w:szCs w:val="21"/>
          <w:lang w:eastAsia="zh-CN"/>
        </w:rPr>
        <w:t xml:space="preserve">, </w:t>
      </w:r>
      <w:r>
        <w:rPr>
          <w:rFonts w:ascii="Times New Roman" w:hAnsi="Times New Roman" w:eastAsiaTheme="minorEastAsia"/>
          <w:i/>
          <w:iCs/>
          <w:color w:val="auto"/>
          <w:sz w:val="21"/>
          <w:szCs w:val="21"/>
          <w:lang w:eastAsia="zh-CN"/>
        </w:rPr>
        <w:t>F</w:t>
      </w:r>
      <w:r>
        <w:rPr>
          <w:rFonts w:ascii="Times New Roman" w:hAnsi="Times New Roman" w:eastAsiaTheme="minorEastAsia"/>
          <w:color w:val="auto"/>
          <w:sz w:val="21"/>
          <w:szCs w:val="21"/>
          <w:vertAlign w:val="subscript"/>
          <w:lang w:eastAsia="zh-CN"/>
        </w:rPr>
        <w:t>i</w:t>
      </w:r>
      <w:r>
        <w:rPr>
          <w:rFonts w:ascii="Times New Roman" w:hAnsi="Times New Roman" w:eastAsiaTheme="minorEastAsia"/>
          <w:color w:val="auto"/>
          <w:sz w:val="21"/>
          <w:szCs w:val="21"/>
          <w:lang w:eastAsia="zh-CN"/>
        </w:rPr>
        <w:t xml:space="preserve">, and </w:t>
      </w:r>
      <w:r>
        <w:rPr>
          <w:rFonts w:ascii="Times New Roman" w:hAnsi="Times New Roman" w:eastAsiaTheme="minorEastAsia"/>
          <w:i/>
          <w:iCs/>
          <w:color w:val="auto"/>
          <w:sz w:val="21"/>
          <w:szCs w:val="21"/>
          <w:lang w:eastAsia="zh-CN"/>
        </w:rPr>
        <w:t>Φ</w:t>
      </w:r>
      <w:r>
        <w:rPr>
          <w:rFonts w:ascii="Times New Roman" w:hAnsi="Times New Roman" w:eastAsiaTheme="minorEastAsia"/>
          <w:color w:val="auto"/>
          <w:sz w:val="21"/>
          <w:szCs w:val="21"/>
          <w:vertAlign w:val="subscript"/>
          <w:lang w:eastAsia="zh-CN"/>
        </w:rPr>
        <w:t>i</w:t>
      </w:r>
      <w:r>
        <w:rPr>
          <w:rFonts w:ascii="Times New Roman" w:hAnsi="Times New Roman" w:eastAsiaTheme="minorEastAsia"/>
          <w:color w:val="auto"/>
          <w:sz w:val="21"/>
          <w:szCs w:val="21"/>
          <w:lang w:eastAsia="zh-CN"/>
        </w:rPr>
        <w:t xml:space="preserve"> are coefficient terms determined jointly by cross-section geometry, the known variables from the previous time step, the lateral inflow, and the discretization parameters. In this way, each river reach can be expressed as a set of linear algebraic equations relating the discharge and water level at two adjacent cross sections.</w:t>
      </w:r>
    </w:p>
    <w:p w14:paraId="0FE6DA96">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For the tree-like river network of the TGR, the discretized channel equations were solved together with the junction continuity and water-level compatibility conditions. After the common water levels at the connecting sections were determined, back substitution was performed along each channel to obtain the discharge and water level at all cross sections in the mainstream–tributary network. This numerical framework provides a stable basis for subsequent flood-routing calculations under different initial operating water levels and release rules.</w:t>
      </w:r>
    </w:p>
    <w:p w14:paraId="265C6BCF">
      <w:pPr>
        <w:pStyle w:val="34"/>
        <w:ind w:left="0" w:firstLine="420" w:firstLineChars="200"/>
        <w:rPr>
          <w:rFonts w:ascii="Times New Roman" w:hAnsi="Times New Roman" w:eastAsiaTheme="minorEastAsia"/>
          <w:color w:val="auto"/>
          <w:sz w:val="21"/>
          <w:szCs w:val="21"/>
          <w:lang w:eastAsia="zh-CN"/>
        </w:rPr>
      </w:pPr>
    </w:p>
    <w:p w14:paraId="42A0AA55">
      <w:pPr>
        <w:pStyle w:val="49"/>
        <w:spacing w:before="0" w:after="0" w:line="240" w:lineRule="auto"/>
        <w:ind w:left="0"/>
        <w:rPr>
          <w:rFonts w:ascii="Times New Roman" w:hAnsi="Times New Roman"/>
          <w:b/>
          <w:bCs/>
          <w:i w:val="0"/>
          <w:iCs/>
          <w:color w:val="auto"/>
          <w:sz w:val="21"/>
          <w:szCs w:val="21"/>
        </w:rPr>
      </w:pPr>
      <w:r>
        <w:rPr>
          <w:rFonts w:ascii="Times New Roman" w:hAnsi="Times New Roman"/>
          <w:b/>
          <w:bCs/>
          <w:i w:val="0"/>
          <w:iCs/>
          <w:color w:val="auto"/>
          <w:sz w:val="21"/>
          <w:szCs w:val="21"/>
        </w:rPr>
        <w:t>2.3. Model Optimization Methods</w:t>
      </w:r>
    </w:p>
    <w:p w14:paraId="28B35952">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The TGR is a typical </w:t>
      </w:r>
      <w:r>
        <w:rPr>
          <w:rFonts w:hint="eastAsia" w:ascii="Times New Roman" w:hAnsi="Times New Roman" w:eastAsiaTheme="minorEastAsia"/>
          <w:color w:val="auto"/>
          <w:sz w:val="21"/>
          <w:szCs w:val="21"/>
          <w:lang w:eastAsia="zh-CN"/>
        </w:rPr>
        <w:t>riverine reservoir</w:t>
      </w:r>
      <w:r>
        <w:rPr>
          <w:rFonts w:ascii="Times New Roman" w:hAnsi="Times New Roman" w:eastAsiaTheme="minorEastAsia"/>
          <w:color w:val="auto"/>
          <w:sz w:val="21"/>
          <w:szCs w:val="21"/>
          <w:lang w:eastAsia="zh-CN"/>
        </w:rPr>
        <w:t xml:space="preserve"> with a long backwater reach, complex hydraulic interactions between the mainstream and tributaries, and substantial effects of uncontrolled interval inflow and local storage distribution on high-water-level processes. If conventional total-storage relationships and simplified treatment of interval inflow are used, simulated longitudinal water-level processes, peak water levels, and outflow hydrographs may deviate markedly from reality, thereby biasing evaluation of </w:t>
      </w:r>
      <w:r>
        <w:rPr>
          <w:rFonts w:hint="eastAsia" w:ascii="Times New Roman" w:hAnsi="Times New Roman" w:eastAsiaTheme="minorEastAsia"/>
          <w:color w:val="auto"/>
          <w:sz w:val="21"/>
          <w:szCs w:val="21"/>
          <w:lang w:eastAsia="zh-CN"/>
        </w:rPr>
        <w:t>flood-season operating water level</w:t>
      </w:r>
      <w:r>
        <w:rPr>
          <w:rFonts w:ascii="Times New Roman" w:hAnsi="Times New Roman" w:eastAsiaTheme="minorEastAsia"/>
          <w:color w:val="auto"/>
          <w:sz w:val="21"/>
          <w:szCs w:val="21"/>
          <w:lang w:eastAsia="zh-CN"/>
        </w:rPr>
        <w:t>. To improve the model representation of high-water-level processes within the reservoir area, the one-dimensional hydrodynamic model was optimized in two respects: storage matching and recovery of interval inflow.</w:t>
      </w:r>
    </w:p>
    <w:p w14:paraId="03765B7C">
      <w:pPr>
        <w:pStyle w:val="47"/>
        <w:ind w:left="0" w:firstLine="400" w:firstLineChars="200"/>
        <w:rPr>
          <w:rFonts w:ascii="Times New Roman" w:hAnsi="Times New Roman"/>
          <w:color w:val="auto"/>
        </w:rPr>
      </w:pPr>
      <w:r>
        <w:rPr>
          <w:rFonts w:ascii="Times New Roman" w:hAnsi="Times New Roman"/>
          <w:color w:val="auto"/>
        </w:rPr>
        <w:t xml:space="preserve">2.3.1. </w:t>
      </w:r>
      <w:r>
        <w:rPr>
          <w:rFonts w:ascii="Times New Roman" w:hAnsi="Times New Roman"/>
          <w:i/>
          <w:iCs/>
          <w:color w:val="auto"/>
          <w:sz w:val="21"/>
          <w:szCs w:val="21"/>
        </w:rPr>
        <w:t>Segmented storage matching technique</w:t>
      </w:r>
    </w:p>
    <w:p w14:paraId="6EA05C77">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Accurate storage representation is critical to flood-routing performance. The one-dimensional hydrodynamic model is based on fixed, widely spaced cross sections in the mainstream reservoir reach and selected tributaries. Because the spacing between adjacent sections is relatively large and storage in inflowing tributaries is not fully represented, model-derived storage can differ substantially from actual storage. Improving consistency between model storage and actual storage is therefore essential to better flood routing, flood forecasting, and reservoir operation.</w:t>
      </w:r>
    </w:p>
    <w:p w14:paraId="190838D2">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In this study, storage in the Yangtze mainstream and in major tributaries, including the Jialing, Yulin, Longxi, Wu, Quxi, Long, Xiaojiang, Tangxi, Modaoxi, Meixi, Daning, Yandu, Qinggang, and Xiangxi Rivers, was considered comprehensively. The reservoir area was divided into 19 storage units, as shown in Fig. 2. In the figure, </w:t>
      </w:r>
      <w:r>
        <w:rPr>
          <w:rFonts w:ascii="Cambria Math" w:hAnsi="Cambria Math" w:cs="Cambria Math" w:eastAsiaTheme="minorEastAsia"/>
          <w:color w:val="auto"/>
          <w:sz w:val="21"/>
          <w:szCs w:val="21"/>
          <w:lang w:eastAsia="zh-CN"/>
        </w:rPr>
        <w:t>①</w:t>
      </w:r>
      <w:r>
        <w:rPr>
          <w:rFonts w:ascii="Times New Roman" w:hAnsi="Times New Roman" w:eastAsiaTheme="minorEastAsia"/>
          <w:color w:val="auto"/>
          <w:sz w:val="21"/>
          <w:szCs w:val="21"/>
          <w:lang w:eastAsia="zh-CN"/>
        </w:rPr>
        <w:t xml:space="preserve"> denotes the upstream boundary of the reservoir tail, </w:t>
      </w:r>
      <w:r>
        <w:rPr>
          <w:rFonts w:ascii="Cambria Math" w:hAnsi="Cambria Math" w:cs="Cambria Math" w:eastAsiaTheme="minorEastAsia"/>
          <w:color w:val="auto"/>
          <w:sz w:val="21"/>
          <w:szCs w:val="21"/>
          <w:lang w:eastAsia="zh-CN"/>
        </w:rPr>
        <w:t>⑥</w:t>
      </w:r>
      <w:r>
        <w:rPr>
          <w:rFonts w:ascii="Times New Roman" w:hAnsi="Times New Roman" w:eastAsiaTheme="minorEastAsia"/>
          <w:color w:val="auto"/>
          <w:sz w:val="21"/>
          <w:szCs w:val="21"/>
          <w:lang w:eastAsia="zh-CN"/>
        </w:rPr>
        <w:t xml:space="preserve"> denotes the downstream boundary at the dam front, </w:t>
      </w:r>
      <w:r>
        <w:rPr>
          <w:rFonts w:ascii="Cambria Math" w:hAnsi="Cambria Math" w:cs="Cambria Math" w:eastAsiaTheme="minorEastAsia"/>
          <w:color w:val="auto"/>
          <w:sz w:val="21"/>
          <w:szCs w:val="21"/>
          <w:lang w:eastAsia="zh-CN"/>
        </w:rPr>
        <w:t>⑦</w:t>
      </w:r>
      <w:r>
        <w:rPr>
          <w:rFonts w:ascii="Times New Roman" w:hAnsi="Times New Roman" w:eastAsiaTheme="minorEastAsia"/>
          <w:color w:val="auto"/>
          <w:sz w:val="21"/>
          <w:szCs w:val="21"/>
          <w:lang w:eastAsia="zh-CN"/>
        </w:rPr>
        <w:t xml:space="preserve"> denotes the upstream boundary of the Jialing River, and </w:t>
      </w:r>
      <w:r>
        <w:rPr>
          <w:rFonts w:ascii="Cambria Math" w:hAnsi="Cambria Math" w:cs="Cambria Math" w:eastAsiaTheme="minorEastAsia"/>
          <w:color w:val="auto"/>
          <w:sz w:val="21"/>
          <w:szCs w:val="21"/>
          <w:lang w:eastAsia="zh-CN"/>
        </w:rPr>
        <w:t>⑨</w:t>
      </w:r>
      <w:r>
        <w:rPr>
          <w:rFonts w:ascii="Times New Roman" w:hAnsi="Times New Roman" w:eastAsiaTheme="minorEastAsia"/>
          <w:color w:val="auto"/>
          <w:sz w:val="21"/>
          <w:szCs w:val="21"/>
          <w:lang w:eastAsia="zh-CN"/>
        </w:rPr>
        <w:t xml:space="preserve"> denotes the upstream boundary of the Wu River. Nodes </w:t>
      </w:r>
      <w:r>
        <w:rPr>
          <w:rFonts w:ascii="Cambria Math" w:hAnsi="Cambria Math" w:cs="Cambria Math" w:eastAsiaTheme="minorEastAsia"/>
          <w:color w:val="auto"/>
          <w:sz w:val="21"/>
          <w:szCs w:val="21"/>
          <w:lang w:eastAsia="zh-CN"/>
        </w:rPr>
        <w:t>❶</w:t>
      </w:r>
      <w:r>
        <w:rPr>
          <w:rFonts w:ascii="Times New Roman" w:hAnsi="Times New Roman" w:eastAsiaTheme="minorEastAsia"/>
          <w:color w:val="auto"/>
          <w:sz w:val="21"/>
          <w:szCs w:val="21"/>
          <w:lang w:eastAsia="zh-CN"/>
        </w:rPr>
        <w:t xml:space="preserve"> and </w:t>
      </w:r>
      <w:r>
        <w:rPr>
          <w:rFonts w:ascii="Cambria Math" w:hAnsi="Cambria Math" w:cs="Cambria Math" w:eastAsiaTheme="minorEastAsia"/>
          <w:color w:val="auto"/>
          <w:sz w:val="21"/>
          <w:szCs w:val="21"/>
          <w:lang w:eastAsia="zh-CN"/>
        </w:rPr>
        <w:t>❷</w:t>
      </w:r>
      <w:r>
        <w:rPr>
          <w:rFonts w:ascii="Times New Roman" w:hAnsi="Times New Roman" w:eastAsiaTheme="minorEastAsia"/>
          <w:color w:val="auto"/>
          <w:sz w:val="21"/>
          <w:szCs w:val="21"/>
          <w:lang w:eastAsia="zh-CN"/>
        </w:rPr>
        <w:t xml:space="preserve"> represent the mainstream</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lang w:eastAsia="zh-CN"/>
        </w:rPr>
        <w:t>tributary confluences. Channels 1, 2, and 3 represent the Yangtze mainstream, whereas Channels 4 and 5 represent the Jialing River and Wu River, respectively.</w:t>
      </w:r>
    </w:p>
    <w:p w14:paraId="6B787FDE">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Storages [1–19] represent the storage-correction units used in the model. These units include the stage–storage relationships generalized from the topography of 12 minor tributaries, as well as five storage corrections along the Yangtze mainstream located in the </w:t>
      </w:r>
      <w:r>
        <w:rPr>
          <w:rFonts w:hint="eastAsia" w:ascii="Times New Roman" w:hAnsi="Times New Roman" w:eastAsiaTheme="minorEastAsia"/>
          <w:color w:val="auto"/>
          <w:sz w:val="21"/>
          <w:szCs w:val="21"/>
          <w:lang w:eastAsia="zh-CN"/>
        </w:rPr>
        <w:t>riverine reservoir</w:t>
      </w:r>
      <w:r>
        <w:rPr>
          <w:rFonts w:ascii="Times New Roman" w:hAnsi="Times New Roman" w:eastAsiaTheme="minorEastAsia"/>
          <w:color w:val="auto"/>
          <w:sz w:val="21"/>
          <w:szCs w:val="21"/>
          <w:lang w:eastAsia="zh-CN"/>
        </w:rPr>
        <w:t xml:space="preserve"> reach, transitional reservoir reach, and lacustrine </w:t>
      </w:r>
      <w:r>
        <w:rPr>
          <w:rFonts w:hint="eastAsia" w:ascii="Times New Roman" w:hAnsi="Times New Roman" w:eastAsiaTheme="minorEastAsia"/>
          <w:color w:val="auto"/>
          <w:sz w:val="21"/>
          <w:szCs w:val="21"/>
          <w:lang w:eastAsia="zh-CN"/>
        </w:rPr>
        <w:t>reservoir</w:t>
      </w:r>
      <w:r>
        <w:rPr>
          <w:rFonts w:ascii="Times New Roman" w:hAnsi="Times New Roman" w:eastAsiaTheme="minorEastAsia"/>
          <w:color w:val="auto"/>
          <w:sz w:val="21"/>
          <w:szCs w:val="21"/>
          <w:lang w:eastAsia="zh-CN"/>
        </w:rPr>
        <w:t xml:space="preserve"> reach. The connection lines between the storage units and the mainstream channels are virtual channels used only for storage exchange, and their own storage contribution is neglected. The inflow symbols in Fig. 2 indicate external inflow inputs, where a represents inflow from the Qijiang River, b represents inflows from other minor tributaries, and c represents uncontrolled interval inflow.</w:t>
      </w:r>
    </w:p>
    <w:p w14:paraId="08CE4E9B">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For each storage unit, the corrected storage was obtained by comparing the measured stage–storage relationship with the storage represented by the one-dimensional model. During model calculation, the corrected storage of each unit was added to the corresponding initial storage according to the initial water level. This treatment improves the consistency between the generalized hydrodynamic model and the actual storage capacity of the reservoir area, and helps reduce deviations in simulated longitudinal water levels caused by simplified cross sections and incomplete representation of tributary storage.</w:t>
      </w:r>
    </w:p>
    <w:p w14:paraId="6DAA3373">
      <w:pPr>
        <w:pStyle w:val="34"/>
        <w:ind w:left="0" w:firstLine="420" w:firstLineChars="200"/>
        <w:rPr>
          <w:rFonts w:ascii="Times New Roman" w:hAnsi="Times New Roman" w:eastAsiaTheme="minorEastAsia"/>
          <w:color w:val="auto"/>
          <w:sz w:val="21"/>
          <w:szCs w:val="21"/>
          <w:lang w:eastAsia="zh-CN"/>
        </w:rPr>
      </w:pPr>
    </w:p>
    <w:p w14:paraId="3584A3E3">
      <w:pPr>
        <w:pStyle w:val="34"/>
        <w:ind w:left="0" w:firstLine="400" w:firstLineChars="200"/>
        <w:jc w:val="center"/>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3602990" cy="23653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3602990" cy="2365375"/>
                    </a:xfrm>
                    <a:prstGeom prst="rect">
                      <a:avLst/>
                    </a:prstGeom>
                    <a:noFill/>
                  </pic:spPr>
                </pic:pic>
              </a:graphicData>
            </a:graphic>
          </wp:inline>
        </w:drawing>
      </w:r>
    </w:p>
    <w:p w14:paraId="3C8FFE87">
      <w:pPr>
        <w:pStyle w:val="34"/>
        <w:ind w:left="0" w:firstLine="400" w:firstLineChars="200"/>
        <w:jc w:val="center"/>
        <w:rPr>
          <w:rFonts w:ascii="Times New Roman" w:hAnsi="Times New Roman"/>
          <w:color w:val="auto"/>
        </w:rPr>
      </w:pPr>
      <w:r>
        <w:rPr>
          <w:rFonts w:hint="eastAsia" w:ascii="Times New Roman" w:hAnsi="Times New Roman" w:eastAsia="宋体"/>
          <w:color w:val="auto"/>
          <w:lang w:eastAsia="zh-CN"/>
        </w:rPr>
        <w:t xml:space="preserve">Fig. </w:t>
      </w:r>
      <w:r>
        <w:rPr>
          <w:rFonts w:ascii="Times New Roman" w:hAnsi="Times New Roman"/>
          <w:color w:val="auto"/>
        </w:rPr>
        <w:t>2  Schematic of regions where storage capacity was corrected in model calculations.</w:t>
      </w:r>
    </w:p>
    <w:p w14:paraId="7B244A52">
      <w:pPr>
        <w:pStyle w:val="34"/>
        <w:ind w:left="0" w:firstLine="360" w:firstLineChars="200"/>
        <w:jc w:val="center"/>
        <w:rPr>
          <w:rFonts w:ascii="Times New Roman" w:hAnsi="Times New Roman" w:eastAsia="黑体"/>
          <w:color w:val="auto"/>
          <w:sz w:val="18"/>
          <w:szCs w:val="18"/>
        </w:rPr>
      </w:pPr>
      <w:r>
        <w:rPr>
          <w:rFonts w:ascii="Times New Roman" w:hAnsi="Times New Roman" w:eastAsia="黑体"/>
          <w:color w:val="auto"/>
          <w:sz w:val="18"/>
          <w:szCs w:val="18"/>
          <w:lang w:eastAsia="zh-CN"/>
        </w:rPr>
        <w:t xml:space="preserve">图2 </w:t>
      </w:r>
      <w:r>
        <w:rPr>
          <w:rFonts w:hint="eastAsia" w:ascii="Times New Roman" w:hAnsi="Times New Roman" w:eastAsia="黑体"/>
          <w:color w:val="auto"/>
          <w:sz w:val="18"/>
          <w:szCs w:val="18"/>
        </w:rPr>
        <w:t>模型修正库容所在区域示意</w:t>
      </w:r>
    </w:p>
    <w:p w14:paraId="3A441E5B">
      <w:pPr>
        <w:pStyle w:val="34"/>
        <w:ind w:left="0" w:firstLine="400" w:firstLineChars="200"/>
        <w:jc w:val="center"/>
        <w:rPr>
          <w:rFonts w:ascii="Times New Roman" w:hAnsi="Times New Roman" w:eastAsiaTheme="minorEastAsia"/>
          <w:color w:val="auto"/>
          <w:lang w:eastAsia="zh-CN"/>
        </w:rPr>
      </w:pPr>
    </w:p>
    <w:p w14:paraId="624D588E">
      <w:pPr>
        <w:pStyle w:val="47"/>
        <w:ind w:left="0" w:firstLine="400" w:firstLineChars="200"/>
        <w:rPr>
          <w:rFonts w:ascii="Times New Roman" w:hAnsi="Times New Roman"/>
          <w:color w:val="auto"/>
        </w:rPr>
      </w:pPr>
      <w:r>
        <w:rPr>
          <w:rFonts w:ascii="Times New Roman" w:hAnsi="Times New Roman"/>
          <w:color w:val="auto"/>
        </w:rPr>
        <w:t xml:space="preserve">2.3.2. </w:t>
      </w:r>
      <w:r>
        <w:rPr>
          <w:rFonts w:ascii="Times New Roman" w:hAnsi="Times New Roman"/>
          <w:i/>
          <w:iCs/>
          <w:color w:val="auto"/>
          <w:sz w:val="21"/>
          <w:szCs w:val="21"/>
        </w:rPr>
        <w:t>Inversion technique for uncontrolled interval inflow</w:t>
      </w:r>
    </w:p>
    <w:p w14:paraId="4C4B3513">
      <w:pPr>
        <w:pStyle w:val="34"/>
        <w:ind w:left="0" w:firstLine="40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lang w:eastAsia="zh-CN"/>
        </w:rPr>
        <w:t>The downstream boundary condition strongly influences the accuracy of reservoir hydrodynamic cal</w:t>
      </w:r>
      <w:r>
        <w:rPr>
          <w:rFonts w:ascii="Times New Roman" w:hAnsi="Times New Roman" w:eastAsiaTheme="minorEastAsia"/>
          <w:color w:val="auto"/>
          <w:sz w:val="21"/>
          <w:szCs w:val="21"/>
          <w:lang w:eastAsia="zh-CN"/>
        </w:rPr>
        <w:t xml:space="preserve">culations. Compared with using discharge as the downstream boundary, prescribing the measured water level at the dam front generally yields higher accuracy because the model can adjust the outflow dynamically so that the computed dam-front water level remains consistent with the measured value. When the upstream inflow hydrograph and the measured dam-front water level are reliable, the difference between computed outflow and measured outflow can be attributed mainly to uncontrolled interval inflow through the water-balance relationship. On this basis, an inversion technique for uncontrolled interval inflow was adopted to recover the time-varying interval-inflow process and to correct the lateral inflow in the model; the corresponding workflow is shown in </w:t>
      </w: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lang w:eastAsia="zh-CN"/>
        </w:rPr>
        <w:t>3.</w:t>
      </w:r>
    </w:p>
    <w:p w14:paraId="7C3FEC8B">
      <w:pPr>
        <w:pStyle w:val="34"/>
        <w:ind w:left="0" w:firstLine="400" w:firstLineChars="200"/>
        <w:rPr>
          <w:rFonts w:ascii="Times New Roman" w:hAnsi="Times New Roman" w:eastAsiaTheme="minorEastAsia"/>
          <w:color w:val="auto"/>
          <w:lang w:eastAsia="zh-CN"/>
        </w:rPr>
      </w:pPr>
    </w:p>
    <w:p w14:paraId="3B629E1C">
      <w:pPr>
        <w:pStyle w:val="34"/>
        <w:ind w:left="0" w:firstLine="400" w:firstLineChars="200"/>
        <w:jc w:val="center"/>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5269230" cy="1389380"/>
            <wp:effectExtent l="0" t="0" r="7620" b="1270"/>
            <wp:docPr id="14062722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72215" name="图片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269230" cy="1389380"/>
                    </a:xfrm>
                    <a:prstGeom prst="rect">
                      <a:avLst/>
                    </a:prstGeom>
                    <a:noFill/>
                    <a:ln>
                      <a:noFill/>
                    </a:ln>
                  </pic:spPr>
                </pic:pic>
              </a:graphicData>
            </a:graphic>
          </wp:inline>
        </w:drawing>
      </w:r>
    </w:p>
    <w:p w14:paraId="51587D8D">
      <w:pPr>
        <w:pStyle w:val="34"/>
        <w:ind w:left="0" w:firstLine="400" w:firstLineChars="200"/>
        <w:jc w:val="center"/>
        <w:rPr>
          <w:rFonts w:ascii="Times New Roman" w:hAnsi="Times New Roman" w:eastAsiaTheme="minorEastAsia"/>
          <w:color w:val="auto"/>
          <w:lang w:eastAsia="zh-CN"/>
        </w:rPr>
      </w:pPr>
      <w:r>
        <w:rPr>
          <w:rFonts w:hint="eastAsia" w:ascii="Times New Roman" w:hAnsi="Times New Roman" w:eastAsiaTheme="minorEastAsia"/>
          <w:color w:val="auto"/>
          <w:lang w:eastAsia="zh-CN"/>
        </w:rPr>
        <w:t xml:space="preserve">Fig. </w:t>
      </w:r>
      <w:r>
        <w:rPr>
          <w:rFonts w:ascii="Times New Roman" w:hAnsi="Times New Roman" w:eastAsiaTheme="minorEastAsia"/>
          <w:color w:val="auto"/>
          <w:lang w:eastAsia="zh-CN"/>
        </w:rPr>
        <w:t>3  Inversion technique for uncontrolled interval inflow based on water balance.</w:t>
      </w:r>
    </w:p>
    <w:p w14:paraId="4AD55AD8">
      <w:pPr>
        <w:pStyle w:val="34"/>
        <w:ind w:left="0" w:firstLine="360" w:firstLineChars="200"/>
        <w:jc w:val="center"/>
        <w:rPr>
          <w:rFonts w:ascii="Times New Roman" w:hAnsi="Times New Roman" w:eastAsia="黑体"/>
          <w:color w:val="auto"/>
          <w:sz w:val="18"/>
          <w:szCs w:val="18"/>
        </w:rPr>
      </w:pPr>
      <w:r>
        <w:rPr>
          <w:rFonts w:ascii="Times New Roman" w:hAnsi="Times New Roman" w:eastAsia="黑体"/>
          <w:color w:val="auto"/>
          <w:sz w:val="18"/>
          <w:szCs w:val="18"/>
          <w:lang w:eastAsia="zh-CN"/>
        </w:rPr>
        <w:t xml:space="preserve">图3 </w:t>
      </w:r>
      <w:r>
        <w:rPr>
          <w:rFonts w:hint="eastAsia" w:ascii="Times New Roman" w:hAnsi="Times New Roman" w:eastAsia="黑体"/>
          <w:color w:val="auto"/>
          <w:sz w:val="18"/>
          <w:szCs w:val="18"/>
        </w:rPr>
        <w:t>基于水量平衡原理的未控区间流量反演技术</w:t>
      </w:r>
    </w:p>
    <w:p w14:paraId="760AFB63">
      <w:pPr>
        <w:pStyle w:val="34"/>
        <w:ind w:left="0" w:firstLine="400" w:firstLineChars="200"/>
        <w:rPr>
          <w:rFonts w:ascii="Times New Roman" w:hAnsi="Times New Roman" w:eastAsiaTheme="minorEastAsia"/>
          <w:color w:val="auto"/>
          <w:lang w:eastAsia="zh-CN"/>
        </w:rPr>
      </w:pPr>
    </w:p>
    <w:p w14:paraId="1E5B0CE3">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lang w:eastAsia="zh-CN"/>
        </w:rPr>
        <w:t xml:space="preserve">The procedure first identifies the period to be corrected and collects time-varying observations, including inflow discharge, dam-front water level, and outflow discharge. The model is then run with the measured inflow and measured dam-front water level as boundary conditions to obtain the longitudinal water-level process in the reservoir area. Using this water-level process as the initial condition, the corresponding model outflow hydrograph is inverted. Because the dam-front water-level boundary is strictly enforced, the difference between model-computed outflow and measured outflow can be treated as the uncontrolled interval-inflow process, which is then reintroduced into the model as an additional input. Finally, the reasonableness of the inverted result is verified by </w:t>
      </w:r>
      <w:r>
        <w:rPr>
          <w:rFonts w:ascii="Times New Roman" w:hAnsi="Times New Roman" w:eastAsiaTheme="minorEastAsia"/>
          <w:color w:val="auto"/>
          <w:sz w:val="21"/>
          <w:szCs w:val="21"/>
        </w:rPr>
        <w:t>comparing measured and simulated water levels at representative stations along the reservoir.</w:t>
      </w:r>
    </w:p>
    <w:p w14:paraId="260A26F9">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It should be emphasized that the inverted interval inflow in this study is an equivalent correction term constrained by the water-balance relationship, rather than a completely independent observation of natural inflow from uncontrolled catchments. The correction mainly reflects the contribution of uncontrolled interval inflow, but it may also partly include the effects of systematic uncertainties related to Manning’s roughness, cross-section generalization, storage representation, and numerical dissipation. Therefore, the inverted interval inflow should be interpreted as an equivalent inflow adjustment used to improve the consistency among inflow, outflow, storage variation, and dam-front water-level control.</w:t>
      </w:r>
    </w:p>
    <w:p w14:paraId="6E85F55F">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To avoid physically unreasonable fluctuations, the inverted interval inflow process was smoothed at an hourly scale, which is consistent with the temporal resolution of the original hydrological data. This treatment helps suppress high-frequency numerical oscillations while preserving the main variation characteristics of the flood process. The processed interval inflow remained positive during the analyzed flood period, indicating that the correction was physically reasonable and did not introduce long-term negative inflow values.</w:t>
      </w:r>
    </w:p>
    <w:p w14:paraId="24233254">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The 2020 Yangtze River No. 4 and No. 5 flood events were further used to evaluate the rationality of the interval-inflow correction</w:t>
      </w:r>
      <w:r>
        <w:rPr>
          <w:rFonts w:hint="eastAsia" w:ascii="Times New Roman" w:hAnsi="Times New Roman" w:eastAsiaTheme="minorEastAsia"/>
          <w:color w:val="auto"/>
          <w:sz w:val="21"/>
          <w:szCs w:val="21"/>
          <w:lang w:eastAsia="zh-CN"/>
        </w:rPr>
        <w:t xml:space="preserve"> as shown in Fig.4</w:t>
      </w:r>
      <w:r>
        <w:rPr>
          <w:rFonts w:ascii="Times New Roman" w:hAnsi="Times New Roman" w:eastAsiaTheme="minorEastAsia"/>
          <w:color w:val="auto"/>
          <w:sz w:val="21"/>
          <w:szCs w:val="21"/>
          <w:lang w:eastAsia="zh-CN"/>
        </w:rPr>
        <w:t>. After considering the interval-inflow adjustment, the accuracy of inflow hydrograph inversion was effectively improved. The relative error of the peak discharge decreased from 11.8% using the conventional method to 3.5% after correction. For the 2020 Yangtze River No. 5 flood, the inverted maximum peak discharge reached 74,700 m³/s, which was close to the observed value of 75,000 m³/s. In addition, the corrected discharge hydrograph became smoother and more consistent with the observed flood process. These results indicate that the proposed interval-inflow correction can improve the representation of flood hydrographs and enhance the reliability of simulated longitudinal water-level processes in the reservoir area.</w:t>
      </w:r>
    </w:p>
    <w:p w14:paraId="754E7AE2">
      <w:pPr>
        <w:pStyle w:val="34"/>
        <w:ind w:left="0" w:firstLine="420" w:firstLineChars="200"/>
        <w:rPr>
          <w:rFonts w:ascii="Times New Roman" w:hAnsi="Times New Roman" w:eastAsiaTheme="minorEastAsia"/>
          <w:color w:val="auto"/>
          <w:sz w:val="21"/>
          <w:szCs w:val="21"/>
          <w:lang w:eastAsia="zh-CN"/>
        </w:rPr>
      </w:pPr>
    </w:p>
    <w:p w14:paraId="5ECD1D0C">
      <w:pPr>
        <w:pStyle w:val="34"/>
        <w:ind w:left="0" w:firstLine="420" w:firstLineChars="200"/>
        <w:jc w:val="center"/>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rPr>
        <w:t xml:space="preserve"> </w:t>
      </w:r>
      <w:r>
        <w:rPr>
          <w:rFonts w:ascii="Times New Roman" w:hAnsi="Times New Roman" w:eastAsiaTheme="minorEastAsia"/>
          <w:color w:val="auto"/>
          <w:sz w:val="21"/>
          <w:szCs w:val="21"/>
          <w:lang w:eastAsia="zh-CN"/>
        </w:rPr>
        <w:drawing>
          <wp:inline distT="0" distB="0" distL="0" distR="0">
            <wp:extent cx="2591435" cy="1947545"/>
            <wp:effectExtent l="0" t="0" r="0" b="0"/>
            <wp:docPr id="95121880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18807" name="图片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592000" cy="1947739"/>
                    </a:xfrm>
                    <a:prstGeom prst="rect">
                      <a:avLst/>
                    </a:prstGeom>
                    <a:noFill/>
                    <a:ln>
                      <a:noFill/>
                    </a:ln>
                  </pic:spPr>
                </pic:pic>
              </a:graphicData>
            </a:graphic>
          </wp:inline>
        </w:drawing>
      </w:r>
    </w:p>
    <w:p w14:paraId="7DE0333E">
      <w:pPr>
        <w:pStyle w:val="34"/>
        <w:ind w:left="0" w:firstLine="400" w:firstLineChars="200"/>
        <w:jc w:val="center"/>
        <w:rPr>
          <w:rFonts w:ascii="Times New Roman" w:hAnsi="Times New Roman" w:eastAsiaTheme="minorEastAsia"/>
          <w:color w:val="auto"/>
          <w:lang w:eastAsia="zh-CN"/>
        </w:rPr>
      </w:pPr>
      <w:r>
        <w:rPr>
          <w:rFonts w:ascii="Times New Roman" w:hAnsi="Times New Roman" w:eastAsiaTheme="minorEastAsia"/>
          <w:color w:val="auto"/>
          <w:lang w:eastAsia="zh-CN"/>
        </w:rPr>
        <w:t xml:space="preserve">Fig. </w:t>
      </w:r>
      <w:r>
        <w:rPr>
          <w:rFonts w:hint="eastAsia" w:ascii="Times New Roman" w:hAnsi="Times New Roman" w:eastAsiaTheme="minorEastAsia"/>
          <w:color w:val="auto"/>
          <w:lang w:eastAsia="zh-CN"/>
        </w:rPr>
        <w:t>4</w:t>
      </w:r>
      <w:r>
        <w:rPr>
          <w:rFonts w:ascii="Times New Roman" w:hAnsi="Times New Roman" w:eastAsiaTheme="minorEastAsia"/>
          <w:color w:val="auto"/>
          <w:lang w:eastAsia="zh-CN"/>
        </w:rPr>
        <w:t xml:space="preserve">  Inverted inflow hydrographs for 2020 Yangtze River No. 4 and No. 5 flood events.</w:t>
      </w:r>
    </w:p>
    <w:p w14:paraId="1D1AC238">
      <w:pPr>
        <w:pStyle w:val="34"/>
        <w:ind w:left="0" w:firstLine="360" w:firstLineChars="200"/>
        <w:jc w:val="center"/>
        <w:rPr>
          <w:rFonts w:ascii="Times New Roman" w:hAnsi="Times New Roman" w:eastAsia="黑体"/>
          <w:color w:val="auto"/>
          <w:sz w:val="18"/>
          <w:szCs w:val="18"/>
          <w:lang w:eastAsia="zh-CN"/>
        </w:rPr>
      </w:pPr>
      <w:r>
        <w:rPr>
          <w:rFonts w:hint="eastAsia" w:ascii="Times New Roman" w:hAnsi="Times New Roman" w:eastAsia="黑体"/>
          <w:color w:val="auto"/>
          <w:sz w:val="18"/>
          <w:szCs w:val="18"/>
          <w:lang w:eastAsia="zh-CN"/>
        </w:rPr>
        <w:t>图4 2020年</w:t>
      </w:r>
      <w:r>
        <w:rPr>
          <w:rFonts w:ascii="Times New Roman" w:hAnsi="Times New Roman" w:eastAsia="黑体"/>
          <w:color w:val="auto"/>
          <w:sz w:val="18"/>
          <w:szCs w:val="18"/>
          <w:lang w:eastAsia="zh-CN"/>
        </w:rPr>
        <w:t>4号、5号洪水反演</w:t>
      </w:r>
      <w:r>
        <w:rPr>
          <w:rFonts w:hint="eastAsia" w:ascii="Times New Roman" w:hAnsi="Times New Roman" w:eastAsia="黑体"/>
          <w:color w:val="auto"/>
          <w:sz w:val="18"/>
          <w:szCs w:val="18"/>
          <w:lang w:eastAsia="zh-CN"/>
        </w:rPr>
        <w:t>入库流量</w:t>
      </w:r>
      <w:r>
        <w:rPr>
          <w:rFonts w:ascii="Times New Roman" w:hAnsi="Times New Roman" w:eastAsia="黑体"/>
          <w:color w:val="auto"/>
          <w:sz w:val="18"/>
          <w:szCs w:val="18"/>
          <w:lang w:eastAsia="zh-CN"/>
        </w:rPr>
        <w:t>过程。</w:t>
      </w:r>
    </w:p>
    <w:p w14:paraId="26999904">
      <w:pPr>
        <w:pStyle w:val="34"/>
        <w:ind w:left="0" w:firstLine="420" w:firstLineChars="200"/>
        <w:rPr>
          <w:rFonts w:ascii="Times New Roman" w:hAnsi="Times New Roman" w:eastAsiaTheme="minorEastAsia"/>
          <w:color w:val="auto"/>
          <w:sz w:val="21"/>
          <w:szCs w:val="21"/>
        </w:rPr>
      </w:pPr>
    </w:p>
    <w:p w14:paraId="6D8FEA8B">
      <w:pPr>
        <w:pStyle w:val="49"/>
        <w:spacing w:before="0" w:after="0" w:line="240" w:lineRule="auto"/>
        <w:ind w:left="0"/>
        <w:rPr>
          <w:rFonts w:ascii="Times New Roman" w:hAnsi="Times New Roman"/>
          <w:b/>
          <w:bCs/>
          <w:i w:val="0"/>
          <w:iCs/>
          <w:color w:val="auto"/>
          <w:sz w:val="21"/>
          <w:szCs w:val="21"/>
        </w:rPr>
      </w:pPr>
      <w:r>
        <w:rPr>
          <w:rFonts w:ascii="Times New Roman" w:hAnsi="Times New Roman"/>
          <w:b/>
          <w:bCs/>
          <w:i w:val="0"/>
          <w:iCs/>
          <w:color w:val="auto"/>
          <w:sz w:val="21"/>
          <w:szCs w:val="21"/>
        </w:rPr>
        <w:t>2.</w:t>
      </w:r>
      <w:r>
        <w:rPr>
          <w:rFonts w:hint="eastAsia" w:ascii="Times New Roman" w:hAnsi="Times New Roman" w:eastAsiaTheme="minorEastAsia"/>
          <w:b/>
          <w:bCs/>
          <w:i w:val="0"/>
          <w:iCs/>
          <w:color w:val="auto"/>
          <w:sz w:val="21"/>
          <w:szCs w:val="21"/>
          <w:lang w:eastAsia="zh-CN"/>
        </w:rPr>
        <w:t>4</w:t>
      </w:r>
      <w:r>
        <w:rPr>
          <w:rFonts w:ascii="Times New Roman" w:hAnsi="Times New Roman"/>
          <w:b/>
          <w:bCs/>
          <w:i w:val="0"/>
          <w:iCs/>
          <w:color w:val="auto"/>
          <w:sz w:val="21"/>
          <w:szCs w:val="21"/>
        </w:rPr>
        <w:t>. Design Floods and Scenario Setup</w:t>
      </w:r>
    </w:p>
    <w:p w14:paraId="4525CA43">
      <w:pPr>
        <w:pStyle w:val="47"/>
        <w:ind w:left="0" w:firstLine="400" w:firstLineChars="200"/>
        <w:rPr>
          <w:rFonts w:ascii="Times New Roman" w:hAnsi="Times New Roman"/>
          <w:color w:val="auto"/>
        </w:rPr>
      </w:pPr>
      <w:r>
        <w:rPr>
          <w:rFonts w:ascii="Times New Roman" w:hAnsi="Times New Roman"/>
          <w:color w:val="auto"/>
        </w:rPr>
        <w:t>2.</w:t>
      </w:r>
      <w:r>
        <w:rPr>
          <w:rFonts w:hint="eastAsia" w:ascii="Times New Roman" w:hAnsi="Times New Roman" w:eastAsiaTheme="minorEastAsia"/>
          <w:color w:val="auto"/>
          <w:lang w:eastAsia="zh-CN"/>
        </w:rPr>
        <w:t>4</w:t>
      </w:r>
      <w:r>
        <w:rPr>
          <w:rFonts w:ascii="Times New Roman" w:hAnsi="Times New Roman"/>
          <w:color w:val="auto"/>
        </w:rPr>
        <w:t xml:space="preserve">.1. </w:t>
      </w:r>
      <w:r>
        <w:rPr>
          <w:rFonts w:ascii="Times New Roman" w:hAnsi="Times New Roman"/>
          <w:i/>
          <w:iCs/>
          <w:color w:val="auto"/>
          <w:sz w:val="21"/>
          <w:szCs w:val="21"/>
        </w:rPr>
        <w:t>Selection of typical flood years</w:t>
      </w:r>
    </w:p>
    <w:p w14:paraId="55CD383E">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Based on historical flood data and previous studies, seven typical floods</w:t>
      </w:r>
      <w:r>
        <w:rPr>
          <w:rFonts w:hint="eastAsia" w:ascii="Times New Roman" w:hAnsi="Times New Roman" w:eastAsiaTheme="minorEastAsia"/>
          <w:color w:val="auto"/>
          <w:sz w:val="21"/>
          <w:szCs w:val="21"/>
          <w:lang w:eastAsia="zh-CN"/>
        </w:rPr>
        <w:t xml:space="preserve">, </w:t>
      </w:r>
      <w:r>
        <w:rPr>
          <w:rFonts w:ascii="Times New Roman" w:hAnsi="Times New Roman" w:eastAsiaTheme="minorEastAsia"/>
          <w:color w:val="auto"/>
          <w:sz w:val="21"/>
          <w:szCs w:val="21"/>
        </w:rPr>
        <w:t>1954, 1966, 1981, 1982, 1998, 2012, and 2020</w:t>
      </w:r>
      <w:r>
        <w:rPr>
          <w:rFonts w:hint="eastAsia" w:ascii="Times New Roman" w:hAnsi="Times New Roman" w:eastAsiaTheme="minorEastAsia"/>
          <w:color w:val="auto"/>
          <w:sz w:val="21"/>
          <w:szCs w:val="21"/>
          <w:lang w:eastAsia="zh-CN"/>
        </w:rPr>
        <w:t xml:space="preserve">, </w:t>
      </w:r>
      <w:r>
        <w:rPr>
          <w:rFonts w:ascii="Times New Roman" w:hAnsi="Times New Roman" w:eastAsiaTheme="minorEastAsia"/>
          <w:color w:val="auto"/>
          <w:sz w:val="21"/>
          <w:szCs w:val="21"/>
        </w:rPr>
        <w:t>were selected as the basis for design-flood construction. These years capture the major differences in source composition and hydrograph shape of floods upstream of the Three Gorges dam site. They include floods dominated by mainstream inflow, floods produced by mainstream–tributary encounters, and floods with relatively large interval inflow. In terms of hydrograph shape, they include both sharp, narrow floods with concentrated peaks and rapid rise and recession and broad floods with wider peaks, larger flood volumes, and distinct double-peak or multi-peak characteristics, the latter being dominant. Among the selected years, 1954, 1998, 2020, and 2012 show different degrees of mainstream</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tributary encounter; 1966 and 1981 are characterized mainly by large mainstream inflow; and 1982 is characterized mainly by a large contribution from interval inflow. Together, these seven floods provide a representative basis for design-flood amplification and analysis of flood-regulation responses.</w:t>
      </w:r>
    </w:p>
    <w:p w14:paraId="3CF37C70">
      <w:pPr>
        <w:pStyle w:val="34"/>
        <w:ind w:left="0" w:firstLine="400" w:firstLineChars="200"/>
        <w:rPr>
          <w:rFonts w:ascii="Times New Roman" w:hAnsi="Times New Roman" w:eastAsiaTheme="minorEastAsia"/>
          <w:b/>
          <w:bCs/>
          <w:color w:val="auto"/>
        </w:rPr>
      </w:pPr>
    </w:p>
    <w:p w14:paraId="63F9AD53">
      <w:pPr>
        <w:pStyle w:val="47"/>
        <w:ind w:left="0" w:firstLine="400" w:firstLineChars="200"/>
        <w:rPr>
          <w:rFonts w:ascii="Times New Roman" w:hAnsi="Times New Roman"/>
          <w:color w:val="auto"/>
        </w:rPr>
      </w:pPr>
      <w:r>
        <w:rPr>
          <w:rFonts w:ascii="Times New Roman" w:hAnsi="Times New Roman"/>
          <w:color w:val="auto"/>
        </w:rPr>
        <w:t>2.</w:t>
      </w:r>
      <w:r>
        <w:rPr>
          <w:rFonts w:hint="eastAsia" w:ascii="Times New Roman" w:hAnsi="Times New Roman" w:eastAsiaTheme="minorEastAsia"/>
          <w:color w:val="auto"/>
          <w:lang w:eastAsia="zh-CN"/>
        </w:rPr>
        <w:t>4</w:t>
      </w:r>
      <w:r>
        <w:rPr>
          <w:rFonts w:ascii="Times New Roman" w:hAnsi="Times New Roman"/>
          <w:color w:val="auto"/>
        </w:rPr>
        <w:t xml:space="preserve">.2. </w:t>
      </w:r>
      <w:r>
        <w:rPr>
          <w:rFonts w:ascii="Times New Roman" w:hAnsi="Times New Roman"/>
          <w:i/>
          <w:iCs/>
          <w:color w:val="auto"/>
          <w:sz w:val="21"/>
          <w:szCs w:val="21"/>
        </w:rPr>
        <w:t>Method for calculating design floods</w:t>
      </w:r>
    </w:p>
    <w:p w14:paraId="7C7B44C8">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Design floods were generated using the equal-frequency amplification method. Starting from a typical historical flood process, this method applies different amplification factors to the flood peak and to flood volumes over different durations while preserving the basic hydrograph shape and the characteristics of flood composition, so that the amplified hydrograph matches the design peak discharge and the design flood volumes over multiple durations.</w:t>
      </w:r>
    </w:p>
    <w:p w14:paraId="200AA19F">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Specifically, design peak discharge and design flood-volume indices for different frequencies were first determined from existing design results. A flood hydrograph from a typical year was then selected as the base process and amplified in segments so that the peak discharge and the flood volumes over key durations of 1, 3, 7, 15, and 30 days matched the target design values for the corresponding frequency. Design flood hydrographs for different frequencies were then obtained for subsequent flood-routing calculations. This method preserves peak shape, duration structure, and differences in inflow composition among typical years, making the resulting scenarios closer to floods that may be encountered in actual operation. In this study, design flood hydrographs with exceedance probabilities of 1%, 0.1%, and 0.01% were generated for each typical year and used to analyze the effects of changes in initial operating water level and release rules on the maximum regulated water level, excess flood volume, and water-level responses at key sections within the reservoir area. Using the 2020 flood as an example, the resulting hydrographs are shown in </w:t>
      </w:r>
      <w:r>
        <w:rPr>
          <w:rFonts w:hint="eastAsia" w:ascii="Times New Roman" w:hAnsi="Times New Roman" w:eastAsiaTheme="minorEastAsia"/>
          <w:color w:val="auto"/>
          <w:sz w:val="21"/>
          <w:szCs w:val="21"/>
          <w:lang w:eastAsia="zh-CN"/>
        </w:rPr>
        <w:t>Fig. 5</w:t>
      </w:r>
      <w:r>
        <w:rPr>
          <w:rFonts w:ascii="Times New Roman" w:hAnsi="Times New Roman" w:eastAsiaTheme="minorEastAsia"/>
          <w:color w:val="auto"/>
          <w:sz w:val="21"/>
          <w:szCs w:val="21"/>
        </w:rPr>
        <w:t>.</w:t>
      </w:r>
    </w:p>
    <w:p w14:paraId="52E71911">
      <w:pPr>
        <w:pStyle w:val="34"/>
        <w:ind w:left="0" w:firstLine="400" w:firstLineChars="200"/>
        <w:rPr>
          <w:rFonts w:ascii="Times New Roman" w:hAnsi="Times New Roman" w:eastAsiaTheme="minorEastAsia"/>
          <w:color w:val="auto"/>
          <w:lang w:eastAsia="zh-CN"/>
        </w:rPr>
      </w:pPr>
    </w:p>
    <w:tbl>
      <w:tblPr>
        <w:tblStyle w:val="12"/>
        <w:tblW w:w="0" w:type="auto"/>
        <w:jc w:val="center"/>
        <w:tblLayout w:type="autofit"/>
        <w:tblCellMar>
          <w:top w:w="0" w:type="dxa"/>
          <w:left w:w="108" w:type="dxa"/>
          <w:bottom w:w="0" w:type="dxa"/>
          <w:right w:w="108" w:type="dxa"/>
        </w:tblCellMar>
      </w:tblPr>
      <w:tblGrid>
        <w:gridCol w:w="4261"/>
        <w:gridCol w:w="4261"/>
      </w:tblGrid>
      <w:tr w14:paraId="5F261129">
        <w:tblPrEx>
          <w:tblCellMar>
            <w:top w:w="0" w:type="dxa"/>
            <w:left w:w="108" w:type="dxa"/>
            <w:bottom w:w="0" w:type="dxa"/>
            <w:right w:w="108" w:type="dxa"/>
          </w:tblCellMar>
        </w:tblPrEx>
        <w:trPr>
          <w:jc w:val="center"/>
        </w:trPr>
        <w:tc>
          <w:tcPr>
            <w:tcW w:w="4607" w:type="dxa"/>
            <w:vAlign w:val="center"/>
          </w:tcPr>
          <w:p w14:paraId="06B985E2">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200977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592000" cy="2010269"/>
                          </a:xfrm>
                          <a:prstGeom prst="rect">
                            <a:avLst/>
                          </a:prstGeom>
                          <a:noFill/>
                          <a:ln>
                            <a:noFill/>
                          </a:ln>
                        </pic:spPr>
                      </pic:pic>
                    </a:graphicData>
                  </a:graphic>
                </wp:inline>
              </w:drawing>
            </w:r>
          </w:p>
        </w:tc>
        <w:tc>
          <w:tcPr>
            <w:tcW w:w="4607" w:type="dxa"/>
          </w:tcPr>
          <w:p w14:paraId="1651E760">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2053590"/>
                  <wp:effectExtent l="0" t="0" r="0"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592000" cy="2053641"/>
                          </a:xfrm>
                          <a:prstGeom prst="rect">
                            <a:avLst/>
                          </a:prstGeom>
                          <a:noFill/>
                          <a:ln>
                            <a:noFill/>
                          </a:ln>
                        </pic:spPr>
                      </pic:pic>
                    </a:graphicData>
                  </a:graphic>
                </wp:inline>
              </w:drawing>
            </w:r>
          </w:p>
        </w:tc>
      </w:tr>
      <w:tr w14:paraId="700DAD24">
        <w:tblPrEx>
          <w:tblCellMar>
            <w:top w:w="0" w:type="dxa"/>
            <w:left w:w="108" w:type="dxa"/>
            <w:bottom w:w="0" w:type="dxa"/>
            <w:right w:w="108" w:type="dxa"/>
          </w:tblCellMar>
        </w:tblPrEx>
        <w:trPr>
          <w:trHeight w:val="68" w:hRule="atLeast"/>
          <w:jc w:val="center"/>
        </w:trPr>
        <w:tc>
          <w:tcPr>
            <w:tcW w:w="4607" w:type="dxa"/>
            <w:vAlign w:val="center"/>
          </w:tcPr>
          <w:p w14:paraId="526D3014">
            <w:pPr>
              <w:pStyle w:val="43"/>
              <w:ind w:firstLine="400" w:firstLineChars="200"/>
              <w:rPr>
                <w:rFonts w:ascii="Times New Roman" w:hAnsi="Times New Roman"/>
                <w:color w:val="auto"/>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ascii="Times New Roman" w:hAnsi="Times New Roman" w:eastAsiaTheme="minorEastAsia"/>
                <w:color w:val="auto"/>
              </w:rPr>
              <w:t>1%</w:t>
            </w:r>
          </w:p>
        </w:tc>
        <w:tc>
          <w:tcPr>
            <w:tcW w:w="4607" w:type="dxa"/>
          </w:tcPr>
          <w:p w14:paraId="41DA5578">
            <w:pPr>
              <w:pStyle w:val="43"/>
              <w:ind w:firstLine="400" w:firstLineChars="200"/>
              <w:rPr>
                <w:rFonts w:ascii="Times New Roman" w:hAnsi="Times New Roman"/>
                <w:color w:val="auto"/>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ascii="Times New Roman" w:hAnsi="Times New Roman" w:eastAsiaTheme="minorEastAsia"/>
                <w:color w:val="auto"/>
              </w:rPr>
              <w:t>0.1%</w:t>
            </w:r>
          </w:p>
        </w:tc>
      </w:tr>
      <w:tr w14:paraId="4DFE7295">
        <w:tblPrEx>
          <w:tblCellMar>
            <w:top w:w="0" w:type="dxa"/>
            <w:left w:w="108" w:type="dxa"/>
            <w:bottom w:w="0" w:type="dxa"/>
            <w:right w:w="108" w:type="dxa"/>
          </w:tblCellMar>
        </w:tblPrEx>
        <w:trPr>
          <w:gridAfter w:val="1"/>
          <w:wAfter w:w="4607" w:type="dxa"/>
          <w:trHeight w:val="68" w:hRule="atLeast"/>
          <w:jc w:val="center"/>
        </w:trPr>
        <w:tc>
          <w:tcPr>
            <w:tcW w:w="4607" w:type="dxa"/>
            <w:vAlign w:val="center"/>
          </w:tcPr>
          <w:p w14:paraId="57B82208">
            <w:pPr>
              <w:pStyle w:val="43"/>
              <w:jc w:val="both"/>
              <w:rPr>
                <w:rFonts w:ascii="Times New Roman" w:hAnsi="Times New Roman" w:eastAsiaTheme="minorEastAsia"/>
                <w:color w:val="auto"/>
                <w:lang w:eastAsia="zh-CN"/>
              </w:rPr>
            </w:pPr>
            <w:r>
              <w:rPr>
                <w:rFonts w:ascii="Times New Roman" w:hAnsi="Times New Roman"/>
                <w:color w:val="auto"/>
              </w:rPr>
              <w:drawing>
                <wp:inline distT="0" distB="0" distL="0" distR="0">
                  <wp:extent cx="2591435" cy="200723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592000" cy="2007580"/>
                          </a:xfrm>
                          <a:prstGeom prst="rect">
                            <a:avLst/>
                          </a:prstGeom>
                          <a:noFill/>
                          <a:ln>
                            <a:noFill/>
                          </a:ln>
                        </pic:spPr>
                      </pic:pic>
                    </a:graphicData>
                  </a:graphic>
                </wp:inline>
              </w:drawing>
            </w:r>
          </w:p>
        </w:tc>
      </w:tr>
      <w:tr w14:paraId="48F0F55E">
        <w:tblPrEx>
          <w:tblCellMar>
            <w:top w:w="0" w:type="dxa"/>
            <w:left w:w="108" w:type="dxa"/>
            <w:bottom w:w="0" w:type="dxa"/>
            <w:right w:w="108" w:type="dxa"/>
          </w:tblCellMar>
        </w:tblPrEx>
        <w:trPr>
          <w:trHeight w:val="68" w:hRule="atLeast"/>
          <w:jc w:val="center"/>
        </w:trPr>
        <w:tc>
          <w:tcPr>
            <w:tcW w:w="4607" w:type="dxa"/>
            <w:vAlign w:val="center"/>
          </w:tcPr>
          <w:p w14:paraId="357EAAA0">
            <w:pPr>
              <w:pStyle w:val="43"/>
              <w:ind w:firstLine="400" w:firstLineChars="200"/>
              <w:rPr>
                <w:rFonts w:ascii="Times New Roman" w:hAnsi="Times New Roman"/>
                <w:color w:val="auto"/>
              </w:rPr>
            </w:pPr>
            <w:r>
              <w:rPr>
                <w:rFonts w:ascii="Times New Roman" w:hAnsi="Times New Roman"/>
                <w:color w:val="auto"/>
              </w:rPr>
              <w:t>(</w:t>
            </w:r>
            <w:r>
              <w:rPr>
                <w:rFonts w:ascii="Times New Roman" w:hAnsi="Times New Roman" w:eastAsiaTheme="minorEastAsia"/>
                <w:b/>
                <w:color w:val="auto"/>
                <w:lang w:eastAsia="zh-CN"/>
              </w:rPr>
              <w:t>c</w:t>
            </w:r>
            <w:r>
              <w:rPr>
                <w:rFonts w:ascii="Times New Roman" w:hAnsi="Times New Roman"/>
                <w:color w:val="auto"/>
              </w:rPr>
              <w:t>)</w:t>
            </w:r>
            <w:r>
              <w:rPr>
                <w:rFonts w:ascii="Times New Roman" w:hAnsi="Times New Roman" w:eastAsiaTheme="minorEastAsia"/>
                <w:color w:val="auto"/>
              </w:rPr>
              <w:t>0.01%</w:t>
            </w:r>
          </w:p>
        </w:tc>
        <w:tc>
          <w:tcPr>
            <w:tcW w:w="4607" w:type="dxa"/>
          </w:tcPr>
          <w:p w14:paraId="57649690">
            <w:pPr>
              <w:pStyle w:val="43"/>
              <w:ind w:firstLine="400" w:firstLineChars="200"/>
              <w:rPr>
                <w:rFonts w:ascii="Times New Roman" w:hAnsi="Times New Roman" w:eastAsiaTheme="minorEastAsia"/>
                <w:color w:val="auto"/>
                <w:lang w:eastAsia="zh-CN"/>
              </w:rPr>
            </w:pPr>
          </w:p>
        </w:tc>
      </w:tr>
    </w:tbl>
    <w:p w14:paraId="5F01F5EE">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 xml:space="preserve">Fig. 5 </w:t>
      </w:r>
      <w:r>
        <w:rPr>
          <w:rFonts w:ascii="Times New Roman" w:hAnsi="Times New Roman" w:eastAsiaTheme="minorEastAsia"/>
          <w:color w:val="auto"/>
        </w:rPr>
        <w:t xml:space="preserve"> Design flood hydrographs for typical year 2020 at different frequencies</w:t>
      </w:r>
    </w:p>
    <w:p w14:paraId="6944A30B">
      <w:pPr>
        <w:ind w:firstLine="480"/>
        <w:jc w:val="center"/>
        <w:rPr>
          <w:rFonts w:ascii="Times New Roman" w:hAnsi="Times New Roman" w:eastAsia="黑体"/>
          <w:color w:val="auto"/>
          <w:sz w:val="18"/>
          <w:szCs w:val="18"/>
        </w:rPr>
      </w:pPr>
      <w:r>
        <w:rPr>
          <w:rFonts w:hint="eastAsia" w:ascii="Times New Roman" w:hAnsi="Times New Roman" w:eastAsia="黑体"/>
          <w:color w:val="auto"/>
          <w:sz w:val="18"/>
          <w:szCs w:val="18"/>
        </w:rPr>
        <w:t>图5</w:t>
      </w:r>
      <w:r>
        <w:rPr>
          <w:rFonts w:ascii="Times New Roman" w:hAnsi="Times New Roman" w:eastAsia="黑体"/>
          <w:color w:val="auto"/>
          <w:sz w:val="18"/>
          <w:szCs w:val="18"/>
        </w:rPr>
        <w:t xml:space="preserve"> 2020</w:t>
      </w:r>
      <w:r>
        <w:rPr>
          <w:rFonts w:ascii="黑体" w:hAnsi="黑体" w:eastAsia="黑体"/>
          <w:color w:val="auto"/>
          <w:sz w:val="18"/>
          <w:szCs w:val="18"/>
        </w:rPr>
        <w:t>典型年</w:t>
      </w:r>
      <w:r>
        <w:rPr>
          <w:rFonts w:hint="eastAsia" w:ascii="黑体" w:hAnsi="黑体" w:eastAsia="黑体"/>
          <w:color w:val="auto"/>
          <w:sz w:val="18"/>
          <w:szCs w:val="18"/>
        </w:rPr>
        <w:t>不同频率</w:t>
      </w:r>
      <w:r>
        <w:rPr>
          <w:rFonts w:ascii="黑体" w:hAnsi="黑体" w:eastAsia="黑体"/>
          <w:color w:val="auto"/>
          <w:sz w:val="18"/>
          <w:szCs w:val="18"/>
        </w:rPr>
        <w:t>设计洪水过程线</w:t>
      </w:r>
    </w:p>
    <w:p w14:paraId="092FD94E">
      <w:pPr>
        <w:pStyle w:val="34"/>
        <w:ind w:left="0" w:firstLine="400" w:firstLineChars="200"/>
        <w:rPr>
          <w:rFonts w:ascii="Times New Roman" w:hAnsi="Times New Roman" w:eastAsiaTheme="minorEastAsia"/>
          <w:color w:val="auto"/>
        </w:rPr>
      </w:pPr>
    </w:p>
    <w:p w14:paraId="0BB045ED">
      <w:pPr>
        <w:pStyle w:val="47"/>
        <w:ind w:left="0" w:firstLine="420" w:firstLineChars="200"/>
        <w:rPr>
          <w:rFonts w:ascii="Times New Roman" w:hAnsi="Times New Roman" w:eastAsiaTheme="minorEastAsia"/>
          <w:color w:val="auto"/>
          <w:sz w:val="21"/>
          <w:szCs w:val="21"/>
          <w:lang w:eastAsia="zh-CN"/>
        </w:rPr>
      </w:pPr>
      <w:r>
        <w:rPr>
          <w:rFonts w:ascii="Times New Roman" w:hAnsi="Times New Roman"/>
          <w:color w:val="auto"/>
          <w:sz w:val="21"/>
          <w:szCs w:val="21"/>
        </w:rPr>
        <w:t>2.</w:t>
      </w:r>
      <w:r>
        <w:rPr>
          <w:rFonts w:hint="eastAsia" w:ascii="Times New Roman" w:hAnsi="Times New Roman" w:eastAsiaTheme="minorEastAsia"/>
          <w:color w:val="auto"/>
          <w:sz w:val="21"/>
          <w:szCs w:val="21"/>
          <w:lang w:eastAsia="zh-CN"/>
        </w:rPr>
        <w:t>4</w:t>
      </w:r>
      <w:r>
        <w:rPr>
          <w:rFonts w:ascii="Times New Roman" w:hAnsi="Times New Roman"/>
          <w:color w:val="auto"/>
          <w:sz w:val="21"/>
          <w:szCs w:val="21"/>
        </w:rPr>
        <w:t xml:space="preserve">.3. </w:t>
      </w:r>
      <w:r>
        <w:rPr>
          <w:rFonts w:ascii="Times New Roman" w:hAnsi="Times New Roman"/>
          <w:i/>
          <w:iCs/>
          <w:color w:val="auto"/>
          <w:sz w:val="21"/>
          <w:szCs w:val="21"/>
        </w:rPr>
        <w:t>Scenario setup</w:t>
      </w:r>
    </w:p>
    <w:p w14:paraId="04775E9B">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The purpose of the scenario setup was to investigate the intrinsic flood-regulation response and flood-season operating water-level boundary of the Three Gorges Project without considering joint operation with upstream cascade reservoirs or forecast-based pre-release. Under these conservative conditions, the effects of different initial operating water levels and release-discharge constraints on flood-control safety were evaluated according to the 2019 version of the operation rules.</w:t>
      </w:r>
    </w:p>
    <w:p w14:paraId="72751B0D">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Two scenario groups were designed, and their key parameters are summarized in Table </w:t>
      </w:r>
      <w:r>
        <w:rPr>
          <w:rFonts w:hint="eastAsia" w:ascii="Times New Roman" w:hAnsi="Times New Roman" w:eastAsiaTheme="minorEastAsia"/>
          <w:color w:val="auto"/>
          <w:sz w:val="21"/>
          <w:szCs w:val="21"/>
          <w:lang w:eastAsia="zh-CN"/>
        </w:rPr>
        <w:t>1</w:t>
      </w:r>
      <w:r>
        <w:rPr>
          <w:rFonts w:ascii="Times New Roman" w:hAnsi="Times New Roman" w:eastAsiaTheme="minorEastAsia"/>
          <w:color w:val="auto"/>
          <w:sz w:val="21"/>
          <w:szCs w:val="21"/>
        </w:rPr>
        <w:t>. Scenario 1 was applied to design floods with exceedance probabilities of 1%, 0.1%, and 0.01%. It was mainly used to examine how the initial operating water level and the maximum prescribed release limit in the high-water-level range affect the maximum regulated water level and excess flood volume. In this scenario, the prescribed release limit in the 171</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175 m range was varied from 73,000 to 78,000 m³/s at intervals of 1,000 m³/s.</w:t>
      </w:r>
    </w:p>
    <w:p w14:paraId="119BAB26">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Scenario 2 was applied to the 1% design flood. It was designed to evaluate the influence of the safe-prescribed release limit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which is the key operating range for conventional flood-control regulation. In this scenario, the prescribed release limit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was varied from 50,000 to 55,000 m³/s at intervals of 1,000 m³/s, while the release limit in the 171</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175 m range was fixed at 78,000 m³/s.</w:t>
      </w:r>
    </w:p>
    <w:p w14:paraId="1C019A29">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In all scenarios, the initial operating water level at the dam front varied from 145 to 165 m at intervals of 2 m. Flood-routing calculations were then performed using the optimized one-dimensional hydrodynamic model. The maximum regulated water level and the cumulative flood volume exceeding 55,000 m³/s were selected as the main evaluation indicators. In this study, the cumulative flood volume above 55,000 m³/s is defined as the excess flood volume. This threshold corresponds to the conventional safe-release upper limit when the dam-front water level is in the range of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and therefore represents the downstream flood-conveyance pressure beyond the regular safe-prescribed release limit.</w:t>
      </w:r>
    </w:p>
    <w:p w14:paraId="0483EA12">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In this study, the risk at key sections in the reservoir area is evaluated through the simulated water-level responses at representative stations along the TGR, including Changshou, Qingxichang, Zhongxian, Wanxian, Fengjie, Wushan, and Zigui. These sections reflect the longitudinal high-water-level response within the reservoir area under different initial operating water levels. However, downstream flood-release safety is not evaluated through direct hydrodynamic simulation of the middle and lower Yangtze River. Instead, it is represented by the excess flood volume above the safe-release threshold of 55,000 m³/s, which indicates the additional high-discharge pressure transmitted downstream. A detailed analysis of downstream control-section water levels requires further coupling with a hydrodynamic model of the middle and lower Yangtze River.</w:t>
      </w:r>
    </w:p>
    <w:p w14:paraId="53B7597A">
      <w:pPr>
        <w:pStyle w:val="42"/>
        <w:ind w:left="0" w:firstLine="360" w:firstLineChars="200"/>
        <w:jc w:val="center"/>
        <w:rPr>
          <w:rFonts w:ascii="Times New Roman" w:hAnsi="Times New Roman" w:cs="Times New Roman"/>
          <w:b/>
          <w:color w:val="auto"/>
        </w:rPr>
      </w:pPr>
      <w:r>
        <w:rPr>
          <w:rFonts w:ascii="Times New Roman" w:hAnsi="Times New Roman" w:cs="Times New Roman"/>
          <w:b/>
          <w:color w:val="auto"/>
        </w:rPr>
        <w:t xml:space="preserve">Table </w:t>
      </w:r>
      <w:r>
        <w:rPr>
          <w:rFonts w:hint="eastAsia" w:ascii="Times New Roman" w:hAnsi="Times New Roman" w:cs="Times New Roman" w:eastAsiaTheme="minorEastAsia"/>
          <w:b/>
          <w:color w:val="auto"/>
          <w:lang w:eastAsia="zh-CN"/>
        </w:rPr>
        <w:t xml:space="preserve">1 </w:t>
      </w:r>
      <w:r>
        <w:rPr>
          <w:rFonts w:ascii="Times New Roman" w:hAnsi="Times New Roman" w:cs="Times New Roman"/>
          <w:b/>
          <w:color w:val="auto"/>
        </w:rPr>
        <w:t xml:space="preserve"> Operating rules oriented toward flood-control safety</w:t>
      </w:r>
    </w:p>
    <w:p w14:paraId="3BF08C37">
      <w:pPr>
        <w:pStyle w:val="42"/>
        <w:spacing w:before="0" w:after="0"/>
        <w:ind w:left="0" w:firstLine="361" w:firstLineChars="200"/>
        <w:jc w:val="center"/>
        <w:rPr>
          <w:rFonts w:ascii="宋体" w:hAnsi="宋体" w:eastAsia="宋体" w:cs="宋体"/>
          <w:b/>
          <w:color w:val="auto"/>
          <w:lang w:eastAsia="zh-CN"/>
        </w:rPr>
      </w:pPr>
      <w:r>
        <w:rPr>
          <w:rFonts w:hint="eastAsia" w:ascii="宋体" w:hAnsi="宋体" w:eastAsia="宋体" w:cs="宋体"/>
          <w:b/>
          <w:color w:val="auto"/>
        </w:rPr>
        <w:t>表</w:t>
      </w:r>
      <w:r>
        <w:rPr>
          <w:rFonts w:hint="eastAsia" w:ascii="Times New Roman" w:hAnsi="Times New Roman" w:cs="Times New Roman" w:eastAsiaTheme="minorEastAsia"/>
          <w:b/>
          <w:color w:val="auto"/>
          <w:lang w:eastAsia="zh-CN"/>
        </w:rPr>
        <w:t>1</w:t>
      </w:r>
      <w:r>
        <w:rPr>
          <w:rFonts w:hint="eastAsia" w:ascii="Times New Roman" w:hAnsi="Times New Roman" w:cs="Times New Roman"/>
          <w:b/>
          <w:color w:val="auto"/>
        </w:rPr>
        <w:t xml:space="preserve"> </w:t>
      </w:r>
      <w:r>
        <w:rPr>
          <w:rFonts w:hint="eastAsia" w:ascii="宋体" w:hAnsi="宋体" w:eastAsia="宋体" w:cs="宋体"/>
          <w:b/>
          <w:color w:val="auto"/>
        </w:rPr>
        <w:t>面向防洪安全的调度控制规则</w:t>
      </w:r>
    </w:p>
    <w:tbl>
      <w:tblPr>
        <w:tblStyle w:val="7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7"/>
        <w:gridCol w:w="3117"/>
        <w:gridCol w:w="3078"/>
      </w:tblGrid>
      <w:tr w14:paraId="67C37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pct"/>
            <w:tcBorders>
              <w:top w:val="single" w:color="000000" w:sz="12" w:space="0"/>
              <w:left w:val="nil"/>
              <w:bottom w:val="single" w:color="000000" w:sz="6" w:space="0"/>
              <w:right w:val="nil"/>
            </w:tcBorders>
            <w:vAlign w:val="center"/>
          </w:tcPr>
          <w:p w14:paraId="163FED3B">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Parameter</w:t>
            </w:r>
          </w:p>
        </w:tc>
        <w:tc>
          <w:tcPr>
            <w:tcW w:w="1829" w:type="pct"/>
            <w:tcBorders>
              <w:top w:val="single" w:color="000000" w:sz="12" w:space="0"/>
              <w:left w:val="nil"/>
              <w:bottom w:val="single" w:color="000000" w:sz="6" w:space="0"/>
              <w:right w:val="nil"/>
            </w:tcBorders>
            <w:vAlign w:val="center"/>
          </w:tcPr>
          <w:p w14:paraId="2D7C9C58">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Scenario 1</w:t>
            </w:r>
          </w:p>
        </w:tc>
        <w:tc>
          <w:tcPr>
            <w:tcW w:w="1806" w:type="pct"/>
            <w:tcBorders>
              <w:top w:val="single" w:color="000000" w:sz="12" w:space="0"/>
              <w:left w:val="nil"/>
              <w:bottom w:val="single" w:color="000000" w:sz="6" w:space="0"/>
              <w:right w:val="nil"/>
            </w:tcBorders>
            <w:vAlign w:val="center"/>
          </w:tcPr>
          <w:p w14:paraId="2086A061">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Scenario 2</w:t>
            </w:r>
          </w:p>
        </w:tc>
      </w:tr>
      <w:tr w14:paraId="27098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pct"/>
            <w:tcBorders>
              <w:top w:val="nil"/>
              <w:left w:val="nil"/>
              <w:bottom w:val="nil"/>
              <w:right w:val="nil"/>
            </w:tcBorders>
            <w:vAlign w:val="center"/>
          </w:tcPr>
          <w:p w14:paraId="5199D2AC">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Purpose</w:t>
            </w:r>
          </w:p>
        </w:tc>
        <w:tc>
          <w:tcPr>
            <w:tcW w:w="1829" w:type="pct"/>
            <w:tcBorders>
              <w:top w:val="nil"/>
              <w:left w:val="nil"/>
              <w:bottom w:val="nil"/>
              <w:right w:val="nil"/>
            </w:tcBorders>
            <w:vAlign w:val="center"/>
          </w:tcPr>
          <w:p w14:paraId="1533E6A8">
            <w:pPr>
              <w:spacing w:line="240" w:lineRule="auto"/>
              <w:jc w:val="center"/>
              <w:rPr>
                <w:rFonts w:ascii="Times New Roman" w:hAnsi="Times New Roman" w:eastAsia="MS Mincho"/>
                <w:color w:val="auto"/>
                <w:sz w:val="18"/>
                <w:szCs w:val="22"/>
                <w:lang w:eastAsia="en-US"/>
              </w:rPr>
            </w:pPr>
            <w:r>
              <w:rPr>
                <w:rFonts w:ascii="Times New Roman" w:hAnsi="Times New Roman" w:eastAsia="MS Mincho"/>
                <w:color w:val="auto"/>
                <w:sz w:val="17"/>
                <w:szCs w:val="22"/>
                <w:lang w:eastAsia="en-US"/>
              </w:rPr>
              <w:t>Evaluate the effects of initial operating water level and high-water-level prescribed release limit.</w:t>
            </w:r>
          </w:p>
        </w:tc>
        <w:tc>
          <w:tcPr>
            <w:tcW w:w="1806" w:type="pct"/>
            <w:tcBorders>
              <w:top w:val="nil"/>
              <w:left w:val="nil"/>
              <w:bottom w:val="nil"/>
              <w:right w:val="nil"/>
            </w:tcBorders>
            <w:vAlign w:val="center"/>
          </w:tcPr>
          <w:p w14:paraId="03246A2A">
            <w:pPr>
              <w:spacing w:line="240" w:lineRule="auto"/>
              <w:jc w:val="center"/>
              <w:rPr>
                <w:rFonts w:ascii="Times New Roman" w:hAnsi="Times New Roman" w:eastAsia="MS Mincho"/>
                <w:color w:val="auto"/>
                <w:sz w:val="18"/>
                <w:szCs w:val="22"/>
                <w:lang w:eastAsia="en-US"/>
              </w:rPr>
            </w:pPr>
            <w:r>
              <w:rPr>
                <w:rFonts w:ascii="Times New Roman" w:hAnsi="Times New Roman" w:eastAsia="MS Mincho"/>
                <w:color w:val="auto"/>
                <w:sz w:val="17"/>
                <w:szCs w:val="22"/>
                <w:lang w:eastAsia="en-US"/>
              </w:rPr>
              <w:t>Evaluate the effect of safe-prescribed release limit in the 155-171 m range.</w:t>
            </w:r>
          </w:p>
        </w:tc>
      </w:tr>
      <w:tr w14:paraId="7CDF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pct"/>
            <w:tcBorders>
              <w:top w:val="nil"/>
              <w:left w:val="nil"/>
              <w:bottom w:val="nil"/>
              <w:right w:val="nil"/>
            </w:tcBorders>
            <w:vAlign w:val="center"/>
          </w:tcPr>
          <w:p w14:paraId="340F4D4A">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Flood frequency</w:t>
            </w:r>
          </w:p>
        </w:tc>
        <w:tc>
          <w:tcPr>
            <w:tcW w:w="1829" w:type="pct"/>
            <w:tcBorders>
              <w:top w:val="nil"/>
              <w:left w:val="nil"/>
              <w:bottom w:val="nil"/>
              <w:right w:val="nil"/>
            </w:tcBorders>
            <w:vAlign w:val="center"/>
          </w:tcPr>
          <w:p w14:paraId="4A14DF62">
            <w:pPr>
              <w:spacing w:line="240" w:lineRule="auto"/>
              <w:jc w:val="center"/>
              <w:rPr>
                <w:rFonts w:ascii="Times New Roman" w:hAnsi="Times New Roman" w:eastAsia="MS Mincho"/>
                <w:color w:val="auto"/>
                <w:sz w:val="18"/>
                <w:szCs w:val="22"/>
                <w:lang w:eastAsia="en-US"/>
              </w:rPr>
            </w:pPr>
            <w:r>
              <w:rPr>
                <w:rFonts w:ascii="Times New Roman" w:hAnsi="Times New Roman" w:eastAsia="MS Mincho"/>
                <w:color w:val="auto"/>
                <w:sz w:val="17"/>
                <w:szCs w:val="22"/>
                <w:lang w:eastAsia="en-US"/>
              </w:rPr>
              <w:t>1%, 0.1%, and 0.01%</w:t>
            </w:r>
          </w:p>
        </w:tc>
        <w:tc>
          <w:tcPr>
            <w:tcW w:w="1806" w:type="pct"/>
            <w:tcBorders>
              <w:top w:val="nil"/>
              <w:left w:val="nil"/>
              <w:bottom w:val="nil"/>
              <w:right w:val="nil"/>
            </w:tcBorders>
            <w:vAlign w:val="center"/>
          </w:tcPr>
          <w:p w14:paraId="1DCA81BA">
            <w:pPr>
              <w:spacing w:line="240" w:lineRule="auto"/>
              <w:jc w:val="center"/>
              <w:rPr>
                <w:rFonts w:ascii="Times New Roman" w:hAnsi="Times New Roman" w:eastAsia="MS Mincho"/>
                <w:color w:val="auto"/>
                <w:sz w:val="18"/>
                <w:szCs w:val="22"/>
                <w:lang w:eastAsia="en-US"/>
              </w:rPr>
            </w:pPr>
            <w:r>
              <w:rPr>
                <w:rFonts w:ascii="Times New Roman" w:hAnsi="Times New Roman" w:eastAsia="MS Mincho"/>
                <w:color w:val="auto"/>
                <w:sz w:val="17"/>
                <w:szCs w:val="22"/>
                <w:lang w:eastAsia="en-US"/>
              </w:rPr>
              <w:t>1%</w:t>
            </w:r>
          </w:p>
        </w:tc>
      </w:tr>
      <w:tr w14:paraId="65B19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5" w:type="pct"/>
            <w:tcBorders>
              <w:top w:val="nil"/>
              <w:left w:val="nil"/>
              <w:bottom w:val="nil"/>
              <w:right w:val="nil"/>
            </w:tcBorders>
            <w:vAlign w:val="center"/>
          </w:tcPr>
          <w:p w14:paraId="2786183C">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Initial operating water level</w:t>
            </w:r>
          </w:p>
        </w:tc>
        <w:tc>
          <w:tcPr>
            <w:tcW w:w="1829" w:type="pct"/>
            <w:tcBorders>
              <w:top w:val="nil"/>
              <w:left w:val="nil"/>
              <w:bottom w:val="nil"/>
              <w:right w:val="nil"/>
            </w:tcBorders>
            <w:vAlign w:val="center"/>
          </w:tcPr>
          <w:p w14:paraId="5E5C74CF">
            <w:pPr>
              <w:spacing w:line="240" w:lineRule="auto"/>
              <w:jc w:val="center"/>
              <w:rPr>
                <w:rFonts w:ascii="Times New Roman" w:hAnsi="Times New Roman" w:eastAsia="MS Mincho"/>
                <w:color w:val="auto"/>
                <w:sz w:val="18"/>
                <w:szCs w:val="22"/>
                <w:lang w:eastAsia="en-US"/>
              </w:rPr>
            </w:pPr>
            <w:r>
              <w:rPr>
                <w:rFonts w:ascii="Times New Roman" w:hAnsi="Times New Roman" w:eastAsia="MS Mincho"/>
                <w:color w:val="auto"/>
                <w:sz w:val="17"/>
                <w:szCs w:val="22"/>
                <w:lang w:eastAsia="en-US"/>
              </w:rPr>
              <w:t>145-165 m; step = 2 m</w:t>
            </w:r>
          </w:p>
        </w:tc>
        <w:tc>
          <w:tcPr>
            <w:tcW w:w="1806" w:type="pct"/>
            <w:tcBorders>
              <w:top w:val="nil"/>
              <w:left w:val="nil"/>
              <w:bottom w:val="nil"/>
              <w:right w:val="nil"/>
            </w:tcBorders>
            <w:vAlign w:val="center"/>
          </w:tcPr>
          <w:p w14:paraId="1BFA2030">
            <w:pPr>
              <w:spacing w:line="240" w:lineRule="auto"/>
              <w:jc w:val="center"/>
              <w:rPr>
                <w:rFonts w:ascii="Times New Roman" w:hAnsi="Times New Roman" w:eastAsia="MS Mincho"/>
                <w:color w:val="auto"/>
                <w:sz w:val="18"/>
                <w:szCs w:val="22"/>
                <w:lang w:eastAsia="en-US"/>
              </w:rPr>
            </w:pPr>
            <w:r>
              <w:rPr>
                <w:rFonts w:ascii="Times New Roman" w:hAnsi="Times New Roman" w:eastAsia="MS Mincho"/>
                <w:color w:val="auto"/>
                <w:sz w:val="17"/>
                <w:szCs w:val="22"/>
                <w:lang w:eastAsia="en-US"/>
              </w:rPr>
              <w:t>145-165 m; step = 2 m</w:t>
            </w:r>
          </w:p>
        </w:tc>
      </w:tr>
      <w:tr w14:paraId="7C3B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pct"/>
            <w:tcBorders>
              <w:top w:val="nil"/>
              <w:left w:val="nil"/>
              <w:bottom w:val="nil"/>
              <w:right w:val="nil"/>
            </w:tcBorders>
            <w:vAlign w:val="center"/>
          </w:tcPr>
          <w:p w14:paraId="68D43931">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Release rule for 145</w:t>
            </w:r>
            <w:r>
              <w:rPr>
                <w:rFonts w:hint="eastAsia" w:ascii="Times New Roman" w:hAnsi="Times New Roman" w:eastAsia="MS Mincho"/>
                <w:b/>
                <w:color w:val="auto"/>
                <w:sz w:val="17"/>
                <w:szCs w:val="22"/>
                <w:lang w:eastAsia="en-US"/>
              </w:rPr>
              <w:t>-</w:t>
            </w:r>
            <w:r>
              <w:rPr>
                <w:rFonts w:ascii="Times New Roman" w:hAnsi="Times New Roman" w:eastAsia="MS Mincho"/>
                <w:b/>
                <w:color w:val="auto"/>
                <w:sz w:val="17"/>
                <w:szCs w:val="22"/>
                <w:lang w:eastAsia="en-US"/>
              </w:rPr>
              <w:t>155 m</w:t>
            </w:r>
          </w:p>
        </w:tc>
        <w:tc>
          <w:tcPr>
            <w:tcW w:w="1829" w:type="pct"/>
            <w:tcBorders>
              <w:top w:val="nil"/>
              <w:left w:val="nil"/>
              <w:bottom w:val="nil"/>
              <w:right w:val="nil"/>
            </w:tcBorders>
            <w:vAlign w:val="center"/>
          </w:tcPr>
          <w:p w14:paraId="30A2F9AC">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 xml:space="preserve">out </w:t>
            </w:r>
            <w:r>
              <w:rPr>
                <w:rFonts w:ascii="Times New Roman" w:hAnsi="Times New Roman" w:eastAsia="MS Mincho"/>
                <w:color w:val="auto"/>
                <w:sz w:val="17"/>
                <w:szCs w:val="22"/>
                <w:lang w:eastAsia="en-US"/>
              </w:rPr>
              <w:t>= 30,000 m³/s</w:t>
            </w:r>
          </w:p>
        </w:tc>
        <w:tc>
          <w:tcPr>
            <w:tcW w:w="1806" w:type="pct"/>
            <w:tcBorders>
              <w:top w:val="nil"/>
              <w:left w:val="nil"/>
              <w:bottom w:val="nil"/>
              <w:right w:val="nil"/>
            </w:tcBorders>
            <w:vAlign w:val="center"/>
          </w:tcPr>
          <w:p w14:paraId="77511266">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30,000 m³/s</w:t>
            </w:r>
          </w:p>
        </w:tc>
      </w:tr>
      <w:tr w14:paraId="5A7E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pct"/>
            <w:tcBorders>
              <w:top w:val="nil"/>
              <w:left w:val="nil"/>
              <w:bottom w:val="nil"/>
              <w:right w:val="nil"/>
            </w:tcBorders>
            <w:vAlign w:val="center"/>
          </w:tcPr>
          <w:p w14:paraId="1C6F7062">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Release rule for 155</w:t>
            </w:r>
            <w:r>
              <w:rPr>
                <w:rFonts w:hint="eastAsia" w:ascii="Times New Roman" w:hAnsi="Times New Roman" w:eastAsia="MS Mincho"/>
                <w:b/>
                <w:color w:val="auto"/>
                <w:sz w:val="17"/>
                <w:szCs w:val="22"/>
                <w:lang w:eastAsia="en-US"/>
              </w:rPr>
              <w:t>-</w:t>
            </w:r>
            <w:r>
              <w:rPr>
                <w:rFonts w:ascii="Times New Roman" w:hAnsi="Times New Roman" w:eastAsia="MS Mincho"/>
                <w:b/>
                <w:color w:val="auto"/>
                <w:sz w:val="17"/>
                <w:szCs w:val="22"/>
                <w:lang w:eastAsia="en-US"/>
              </w:rPr>
              <w:t>171 m</w:t>
            </w:r>
          </w:p>
        </w:tc>
        <w:tc>
          <w:tcPr>
            <w:tcW w:w="1829" w:type="pct"/>
            <w:tcBorders>
              <w:top w:val="nil"/>
              <w:left w:val="nil"/>
              <w:bottom w:val="nil"/>
              <w:right w:val="nil"/>
            </w:tcBorders>
            <w:vAlign w:val="center"/>
          </w:tcPr>
          <w:p w14:paraId="7A372641">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min(</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in</w:t>
            </w:r>
            <w:r>
              <w:rPr>
                <w:rFonts w:ascii="Times New Roman" w:hAnsi="Times New Roman" w:eastAsia="MS Mincho"/>
                <w:color w:val="auto"/>
                <w:sz w:val="17"/>
                <w:szCs w:val="22"/>
                <w:lang w:eastAsia="en-US"/>
              </w:rPr>
              <w:t>, 55,000 m³/s)</w:t>
            </w:r>
          </w:p>
        </w:tc>
        <w:tc>
          <w:tcPr>
            <w:tcW w:w="1806" w:type="pct"/>
            <w:tcBorders>
              <w:top w:val="nil"/>
              <w:left w:val="nil"/>
              <w:bottom w:val="nil"/>
              <w:right w:val="nil"/>
            </w:tcBorders>
            <w:vAlign w:val="center"/>
          </w:tcPr>
          <w:p w14:paraId="30C396D5">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min(</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in</w:t>
            </w:r>
            <w:r>
              <w:rPr>
                <w:rFonts w:ascii="Times New Roman" w:hAnsi="Times New Roman" w:eastAsia="MS Mincho"/>
                <w:color w:val="auto"/>
                <w:sz w:val="17"/>
                <w:szCs w:val="22"/>
                <w:lang w:eastAsia="en-US"/>
              </w:rPr>
              <w:t xml:space="preserve">, </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155-171</w:t>
            </w:r>
            <w:r>
              <w:rPr>
                <w:rFonts w:ascii="Times New Roman" w:hAnsi="Times New Roman" w:eastAsia="MS Mincho"/>
                <w:color w:val="auto"/>
                <w:sz w:val="17"/>
                <w:szCs w:val="22"/>
                <w:lang w:eastAsia="en-US"/>
              </w:rPr>
              <w:t xml:space="preserve">); </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155-171</w:t>
            </w:r>
            <w:r>
              <w:rPr>
                <w:rFonts w:ascii="Times New Roman" w:hAnsi="Times New Roman" w:eastAsia="MS Mincho"/>
                <w:color w:val="auto"/>
                <w:sz w:val="17"/>
                <w:szCs w:val="22"/>
                <w:lang w:eastAsia="en-US"/>
              </w:rPr>
              <w:t xml:space="preserve"> = 50,000-55,000 m³/s; step = 1,000 m³/s</w:t>
            </w:r>
          </w:p>
        </w:tc>
      </w:tr>
      <w:tr w14:paraId="48D8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pct"/>
            <w:tcBorders>
              <w:top w:val="nil"/>
              <w:left w:val="nil"/>
              <w:bottom w:val="nil"/>
              <w:right w:val="nil"/>
            </w:tcBorders>
            <w:vAlign w:val="center"/>
          </w:tcPr>
          <w:p w14:paraId="35F46EE6">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Release rule for 171</w:t>
            </w:r>
            <w:r>
              <w:rPr>
                <w:rFonts w:hint="eastAsia" w:ascii="Times New Roman" w:hAnsi="Times New Roman" w:eastAsia="MS Mincho"/>
                <w:b/>
                <w:color w:val="auto"/>
                <w:sz w:val="17"/>
                <w:szCs w:val="22"/>
                <w:lang w:eastAsia="en-US"/>
              </w:rPr>
              <w:t>-</w:t>
            </w:r>
            <w:r>
              <w:rPr>
                <w:rFonts w:ascii="Times New Roman" w:hAnsi="Times New Roman" w:eastAsia="MS Mincho"/>
                <w:b/>
                <w:color w:val="auto"/>
                <w:sz w:val="17"/>
                <w:szCs w:val="22"/>
                <w:lang w:eastAsia="en-US"/>
              </w:rPr>
              <w:t>175 m</w:t>
            </w:r>
          </w:p>
        </w:tc>
        <w:tc>
          <w:tcPr>
            <w:tcW w:w="1829" w:type="pct"/>
            <w:tcBorders>
              <w:top w:val="nil"/>
              <w:left w:val="nil"/>
              <w:bottom w:val="nil"/>
              <w:right w:val="nil"/>
            </w:tcBorders>
            <w:vAlign w:val="center"/>
          </w:tcPr>
          <w:p w14:paraId="7D4F4C7C">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min(</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in</w:t>
            </w:r>
            <w:r>
              <w:rPr>
                <w:rFonts w:ascii="Times New Roman" w:hAnsi="Times New Roman" w:eastAsia="MS Mincho"/>
                <w:color w:val="auto"/>
                <w:sz w:val="17"/>
                <w:szCs w:val="22"/>
                <w:lang w:eastAsia="en-US"/>
              </w:rPr>
              <w:t xml:space="preserve">, </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171-175</w:t>
            </w:r>
            <w:r>
              <w:rPr>
                <w:rFonts w:ascii="Times New Roman" w:hAnsi="Times New Roman" w:eastAsia="MS Mincho"/>
                <w:color w:val="auto"/>
                <w:sz w:val="17"/>
                <w:szCs w:val="22"/>
                <w:lang w:eastAsia="en-US"/>
              </w:rPr>
              <w:t>); Q</w:t>
            </w:r>
            <w:r>
              <w:rPr>
                <w:rFonts w:ascii="Times New Roman" w:hAnsi="Times New Roman" w:eastAsia="MS Mincho"/>
                <w:color w:val="auto"/>
                <w:sz w:val="17"/>
                <w:szCs w:val="22"/>
                <w:vertAlign w:val="subscript"/>
                <w:lang w:eastAsia="en-US"/>
              </w:rPr>
              <w:t>171-175</w:t>
            </w:r>
            <w:r>
              <w:rPr>
                <w:rFonts w:ascii="Times New Roman" w:hAnsi="Times New Roman" w:eastAsia="MS Mincho"/>
                <w:color w:val="auto"/>
                <w:sz w:val="17"/>
                <w:szCs w:val="22"/>
                <w:lang w:eastAsia="en-US"/>
              </w:rPr>
              <w:t xml:space="preserve"> = 73,000-78,000 m³/s; step = 1,000 m³/s</w:t>
            </w:r>
          </w:p>
        </w:tc>
        <w:tc>
          <w:tcPr>
            <w:tcW w:w="1806" w:type="pct"/>
            <w:tcBorders>
              <w:top w:val="nil"/>
              <w:left w:val="nil"/>
              <w:bottom w:val="nil"/>
              <w:right w:val="nil"/>
            </w:tcBorders>
            <w:vAlign w:val="center"/>
          </w:tcPr>
          <w:p w14:paraId="66363691">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min(</w:t>
            </w: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in</w:t>
            </w:r>
            <w:r>
              <w:rPr>
                <w:rFonts w:ascii="Times New Roman" w:hAnsi="Times New Roman" w:eastAsia="MS Mincho"/>
                <w:color w:val="auto"/>
                <w:sz w:val="17"/>
                <w:szCs w:val="22"/>
                <w:lang w:eastAsia="en-US"/>
              </w:rPr>
              <w:t>, 78,000 m³/s)</w:t>
            </w:r>
          </w:p>
        </w:tc>
      </w:tr>
      <w:tr w14:paraId="178F1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365" w:type="pct"/>
            <w:tcBorders>
              <w:top w:val="nil"/>
              <w:left w:val="nil"/>
              <w:bottom w:val="single" w:color="000000" w:sz="12" w:space="0"/>
              <w:right w:val="nil"/>
            </w:tcBorders>
            <w:vAlign w:val="center"/>
          </w:tcPr>
          <w:p w14:paraId="2D04D65D">
            <w:pPr>
              <w:spacing w:line="240" w:lineRule="auto"/>
              <w:jc w:val="center"/>
              <w:rPr>
                <w:rFonts w:ascii="Times New Roman" w:hAnsi="Times New Roman" w:eastAsia="MS Mincho"/>
                <w:color w:val="auto"/>
                <w:sz w:val="18"/>
                <w:szCs w:val="22"/>
                <w:lang w:eastAsia="en-US"/>
              </w:rPr>
            </w:pPr>
            <w:r>
              <w:rPr>
                <w:rFonts w:ascii="Times New Roman" w:hAnsi="Times New Roman" w:eastAsia="MS Mincho"/>
                <w:b/>
                <w:color w:val="auto"/>
                <w:sz w:val="17"/>
                <w:szCs w:val="22"/>
                <w:lang w:eastAsia="en-US"/>
              </w:rPr>
              <w:t>Release rule for &gt;175 m</w:t>
            </w:r>
          </w:p>
        </w:tc>
        <w:tc>
          <w:tcPr>
            <w:tcW w:w="1829" w:type="pct"/>
            <w:tcBorders>
              <w:top w:val="nil"/>
              <w:left w:val="nil"/>
              <w:bottom w:val="single" w:color="000000" w:sz="12" w:space="0"/>
              <w:right w:val="nil"/>
            </w:tcBorders>
            <w:vAlign w:val="center"/>
          </w:tcPr>
          <w:p w14:paraId="2DA0703F">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min(Qin, 106,700 m³/s)</w:t>
            </w:r>
          </w:p>
        </w:tc>
        <w:tc>
          <w:tcPr>
            <w:tcW w:w="1806" w:type="pct"/>
            <w:tcBorders>
              <w:top w:val="nil"/>
              <w:left w:val="nil"/>
              <w:bottom w:val="single" w:color="000000" w:sz="12" w:space="0"/>
              <w:right w:val="nil"/>
            </w:tcBorders>
            <w:vAlign w:val="center"/>
          </w:tcPr>
          <w:p w14:paraId="7EFEFF25">
            <w:pPr>
              <w:spacing w:line="240" w:lineRule="auto"/>
              <w:jc w:val="center"/>
              <w:rPr>
                <w:rFonts w:ascii="Times New Roman" w:hAnsi="Times New Roman" w:eastAsia="MS Mincho"/>
                <w:color w:val="auto"/>
                <w:sz w:val="18"/>
                <w:szCs w:val="22"/>
                <w:lang w:eastAsia="en-US"/>
              </w:rPr>
            </w:pPr>
            <w:r>
              <w:rPr>
                <w:rFonts w:ascii="Times New Roman" w:hAnsi="Times New Roman" w:eastAsia="MS Mincho"/>
                <w:i/>
                <w:iCs/>
                <w:color w:val="auto"/>
                <w:sz w:val="17"/>
                <w:szCs w:val="22"/>
                <w:lang w:eastAsia="en-US"/>
              </w:rPr>
              <w:t>Q</w:t>
            </w:r>
            <w:r>
              <w:rPr>
                <w:rFonts w:ascii="Times New Roman" w:hAnsi="Times New Roman" w:eastAsia="MS Mincho"/>
                <w:color w:val="auto"/>
                <w:sz w:val="17"/>
                <w:szCs w:val="22"/>
                <w:vertAlign w:val="subscript"/>
                <w:lang w:eastAsia="en-US"/>
              </w:rPr>
              <w:t>out</w:t>
            </w:r>
            <w:r>
              <w:rPr>
                <w:rFonts w:ascii="Times New Roman" w:hAnsi="Times New Roman" w:eastAsia="MS Mincho"/>
                <w:color w:val="auto"/>
                <w:sz w:val="17"/>
                <w:szCs w:val="22"/>
                <w:lang w:eastAsia="en-US"/>
              </w:rPr>
              <w:t xml:space="preserve"> = min(Qin, 106,700 m³/s)</w:t>
            </w:r>
          </w:p>
        </w:tc>
      </w:tr>
    </w:tbl>
    <w:p w14:paraId="68232289">
      <w:pPr>
        <w:spacing w:before="80" w:line="276" w:lineRule="auto"/>
        <w:jc w:val="left"/>
        <w:rPr>
          <w:rFonts w:ascii="Times New Roman" w:hAnsi="Times New Roman"/>
          <w:color w:val="auto"/>
          <w:sz w:val="17"/>
          <w:szCs w:val="22"/>
          <w:lang w:eastAsia="en-US"/>
        </w:rPr>
      </w:pPr>
      <w:r>
        <w:rPr>
          <w:rFonts w:ascii="Times New Roman" w:hAnsi="Times New Roman"/>
          <w:color w:val="auto"/>
          <w:sz w:val="17"/>
          <w:szCs w:val="22"/>
          <w:lang w:eastAsia="en-US"/>
        </w:rPr>
        <w:t xml:space="preserve">Note: </w:t>
      </w:r>
      <w:r>
        <w:rPr>
          <w:rFonts w:ascii="Times New Roman" w:hAnsi="Times New Roman"/>
          <w:i/>
          <w:iCs/>
          <w:color w:val="auto"/>
          <w:sz w:val="17"/>
          <w:szCs w:val="22"/>
          <w:lang w:eastAsia="en-US"/>
        </w:rPr>
        <w:t>Q</w:t>
      </w:r>
      <w:r>
        <w:rPr>
          <w:rFonts w:ascii="Times New Roman" w:hAnsi="Times New Roman"/>
          <w:color w:val="auto"/>
          <w:sz w:val="17"/>
          <w:szCs w:val="22"/>
          <w:vertAlign w:val="subscript"/>
          <w:lang w:eastAsia="en-US"/>
        </w:rPr>
        <w:t>in</w:t>
      </w:r>
      <w:r>
        <w:rPr>
          <w:rFonts w:ascii="Times New Roman" w:hAnsi="Times New Roman"/>
          <w:color w:val="auto"/>
          <w:sz w:val="17"/>
          <w:szCs w:val="22"/>
          <w:lang w:eastAsia="en-US"/>
        </w:rPr>
        <w:t xml:space="preserve"> and </w:t>
      </w:r>
      <w:r>
        <w:rPr>
          <w:rFonts w:ascii="Times New Roman" w:hAnsi="Times New Roman"/>
          <w:i/>
          <w:iCs/>
          <w:color w:val="auto"/>
          <w:sz w:val="17"/>
          <w:szCs w:val="22"/>
          <w:lang w:eastAsia="en-US"/>
        </w:rPr>
        <w:t>Q</w:t>
      </w:r>
      <w:r>
        <w:rPr>
          <w:rFonts w:ascii="Times New Roman" w:hAnsi="Times New Roman"/>
          <w:color w:val="auto"/>
          <w:sz w:val="17"/>
          <w:szCs w:val="22"/>
          <w:vertAlign w:val="subscript"/>
          <w:lang w:eastAsia="en-US"/>
        </w:rPr>
        <w:t>out</w:t>
      </w:r>
      <w:r>
        <w:rPr>
          <w:rFonts w:ascii="Times New Roman" w:hAnsi="Times New Roman"/>
          <w:color w:val="auto"/>
          <w:sz w:val="17"/>
          <w:szCs w:val="22"/>
          <w:lang w:eastAsia="en-US"/>
        </w:rPr>
        <w:t xml:space="preserve"> denote inflow and outflow discharge, respectively. </w:t>
      </w:r>
      <w:r>
        <w:rPr>
          <w:rFonts w:ascii="Times New Roman" w:hAnsi="Times New Roman"/>
          <w:i/>
          <w:iCs/>
          <w:color w:val="auto"/>
          <w:sz w:val="17"/>
          <w:szCs w:val="22"/>
          <w:lang w:eastAsia="en-US"/>
        </w:rPr>
        <w:t>Q</w:t>
      </w:r>
      <w:r>
        <w:rPr>
          <w:rFonts w:ascii="Times New Roman" w:hAnsi="Times New Roman"/>
          <w:color w:val="auto"/>
          <w:sz w:val="17"/>
          <w:szCs w:val="22"/>
          <w:vertAlign w:val="subscript"/>
          <w:lang w:eastAsia="en-US"/>
        </w:rPr>
        <w:t>155-171</w:t>
      </w:r>
      <w:r>
        <w:rPr>
          <w:rFonts w:ascii="Times New Roman" w:hAnsi="Times New Roman"/>
          <w:color w:val="auto"/>
          <w:sz w:val="17"/>
          <w:szCs w:val="22"/>
          <w:lang w:eastAsia="en-US"/>
        </w:rPr>
        <w:t xml:space="preserve"> and </w:t>
      </w:r>
      <w:r>
        <w:rPr>
          <w:rFonts w:ascii="Times New Roman" w:hAnsi="Times New Roman"/>
          <w:i/>
          <w:iCs/>
          <w:color w:val="auto"/>
          <w:sz w:val="17"/>
          <w:szCs w:val="22"/>
          <w:lang w:eastAsia="en-US"/>
        </w:rPr>
        <w:t>Q</w:t>
      </w:r>
      <w:r>
        <w:rPr>
          <w:rFonts w:ascii="Times New Roman" w:hAnsi="Times New Roman"/>
          <w:color w:val="auto"/>
          <w:sz w:val="17"/>
          <w:szCs w:val="22"/>
          <w:vertAlign w:val="subscript"/>
          <w:lang w:eastAsia="en-US"/>
        </w:rPr>
        <w:t>171-175</w:t>
      </w:r>
      <w:r>
        <w:rPr>
          <w:rFonts w:ascii="Times New Roman" w:hAnsi="Times New Roman"/>
          <w:color w:val="auto"/>
          <w:sz w:val="17"/>
          <w:szCs w:val="22"/>
          <w:lang w:eastAsia="en-US"/>
        </w:rPr>
        <w:t xml:space="preserve"> denote the prescribed upper release limits in the corresponding water-level ranges.</w:t>
      </w:r>
      <w:r>
        <w:rPr>
          <w:color w:val="auto"/>
        </w:rPr>
        <w:t xml:space="preserve"> </w:t>
      </w:r>
      <w:r>
        <w:rPr>
          <w:rFonts w:ascii="Times New Roman" w:hAnsi="Times New Roman"/>
          <w:color w:val="auto"/>
          <w:sz w:val="17"/>
          <w:szCs w:val="22"/>
          <w:lang w:eastAsia="en-US"/>
        </w:rPr>
        <w:t>The outflow limits of 55,000 and 78,000 m³/s correspond to the Zhicheng control discharges of 56,700 and 80,000 m³/s, respectively, after considering interval inflow between the Three Gorges dam site and Zhicheng Station.</w:t>
      </w:r>
    </w:p>
    <w:p w14:paraId="26F0CD12">
      <w:pPr>
        <w:spacing w:before="80" w:line="276" w:lineRule="auto"/>
        <w:jc w:val="left"/>
        <w:rPr>
          <w:rFonts w:ascii="Times New Roman" w:hAnsi="Times New Roman"/>
          <w:color w:val="auto"/>
          <w:sz w:val="17"/>
          <w:szCs w:val="22"/>
        </w:rPr>
      </w:pPr>
    </w:p>
    <w:p w14:paraId="7EF7E335">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According to the current operation rules, 171 m is an important transition level for flood-control operation of the Three Gorges Reservoir. When the dam-front water level does not exceed</w:t>
      </w:r>
      <w:r>
        <w:rPr>
          <w:rFonts w:hint="eastAsia" w:ascii="Times New Roman" w:hAnsi="Times New Roman" w:eastAsiaTheme="minorEastAsia"/>
          <w:color w:val="auto"/>
          <w:sz w:val="21"/>
          <w:szCs w:val="21"/>
          <w:lang w:eastAsia="zh-CN"/>
        </w:rPr>
        <w:t xml:space="preserve"> </w:t>
      </w:r>
      <w:r>
        <w:rPr>
          <w:rFonts w:ascii="Times New Roman" w:hAnsi="Times New Roman" w:eastAsiaTheme="minorEastAsia"/>
          <w:color w:val="auto"/>
          <w:sz w:val="21"/>
          <w:szCs w:val="21"/>
        </w:rPr>
        <w:t>171 m, the operation should account for downstream flood-control requirements, with the regulated discharge at Zhicheng Station controlled below 56,700 m³/s. When the dam-front water level is between 171 and 175 m, a higher-level flood-control rule is applied, under which the compensated discharge at Zhicheng Station is controlled below 80,000 m³/s. Considering the interval inflow between the Three Gorges dam site and Zhicheng Station, the corresponding upper limits of the TGR outflow were set to 55,000 and 78,000 m³/s, respectively, in the model calculations.</w:t>
      </w:r>
    </w:p>
    <w:p w14:paraId="06D466E3">
      <w:pPr>
        <w:pStyle w:val="34"/>
        <w:ind w:left="0" w:firstLine="420" w:firstLineChars="200"/>
        <w:rPr>
          <w:rFonts w:ascii="Times New Roman" w:hAnsi="Times New Roman" w:eastAsiaTheme="minorEastAsia"/>
          <w:color w:val="auto"/>
          <w:sz w:val="21"/>
          <w:szCs w:val="21"/>
        </w:rPr>
      </w:pPr>
    </w:p>
    <w:p w14:paraId="1D7BC4E5">
      <w:pPr>
        <w:pStyle w:val="48"/>
        <w:ind w:left="0"/>
        <w:rPr>
          <w:rFonts w:ascii="Times New Roman" w:hAnsi="Times New Roman" w:eastAsiaTheme="minorEastAsia"/>
          <w:color w:val="auto"/>
          <w:sz w:val="28"/>
          <w:szCs w:val="28"/>
          <w:lang w:eastAsia="zh-CN"/>
        </w:rPr>
      </w:pPr>
      <w:r>
        <w:rPr>
          <w:rFonts w:ascii="Times New Roman" w:hAnsi="Times New Roman"/>
          <w:color w:val="auto"/>
          <w:sz w:val="28"/>
          <w:szCs w:val="28"/>
        </w:rPr>
        <w:t>3. Results</w:t>
      </w:r>
    </w:p>
    <w:p w14:paraId="303D4209">
      <w:pPr>
        <w:pStyle w:val="49"/>
        <w:spacing w:before="0" w:after="0" w:line="240" w:lineRule="auto"/>
        <w:ind w:left="0"/>
        <w:rPr>
          <w:rFonts w:ascii="Times New Roman" w:hAnsi="Times New Roman"/>
          <w:b/>
          <w:bCs/>
          <w:i w:val="0"/>
          <w:iCs/>
          <w:color w:val="auto"/>
          <w:sz w:val="21"/>
          <w:szCs w:val="21"/>
        </w:rPr>
      </w:pPr>
      <w:r>
        <w:rPr>
          <w:rFonts w:hint="eastAsia" w:ascii="Times New Roman" w:hAnsi="Times New Roman" w:eastAsiaTheme="minorEastAsia"/>
          <w:b/>
          <w:bCs/>
          <w:i w:val="0"/>
          <w:iCs/>
          <w:color w:val="auto"/>
          <w:sz w:val="21"/>
          <w:szCs w:val="21"/>
          <w:lang w:eastAsia="zh-CN"/>
        </w:rPr>
        <w:t>3.1</w:t>
      </w:r>
      <w:r>
        <w:rPr>
          <w:rFonts w:ascii="Times New Roman" w:hAnsi="Times New Roman"/>
          <w:b/>
          <w:bCs/>
          <w:i w:val="0"/>
          <w:iCs/>
          <w:color w:val="auto"/>
          <w:sz w:val="21"/>
          <w:szCs w:val="21"/>
        </w:rPr>
        <w:t>. Model Verification</w:t>
      </w:r>
    </w:p>
    <w:p w14:paraId="391B19A1">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 xml:space="preserve">A typical flood-season event in 2020 was selected for model verification. Measured and simulated water-level hydrographs were compared at representative stations including Cuntan, Changshou, Qingxichang, Zhongxian, Wanxian, Fengjie, Wushan, and Zigui. Longitudinal water level within the reservoir was chosen as the primary verification target because the core objective of this study is to evaluate the operating water level of the TGR during the </w:t>
      </w:r>
      <w:r>
        <w:rPr>
          <w:rFonts w:hint="eastAsia" w:ascii="Times New Roman" w:hAnsi="Times New Roman" w:eastAsiaTheme="minorEastAsia"/>
          <w:color w:val="auto"/>
          <w:sz w:val="21"/>
          <w:szCs w:val="21"/>
          <w:lang w:eastAsia="zh-CN"/>
        </w:rPr>
        <w:t>flood-season</w:t>
      </w:r>
      <w:r>
        <w:rPr>
          <w:rFonts w:ascii="Times New Roman" w:hAnsi="Times New Roman" w:eastAsiaTheme="minorEastAsia"/>
          <w:color w:val="auto"/>
          <w:sz w:val="21"/>
          <w:szCs w:val="21"/>
          <w:lang w:eastAsia="zh-CN"/>
        </w:rPr>
        <w:t xml:space="preserve"> and the associated high-water-level response along the reservoir. In addition, inflow discharge, dam-front water level, and part of the outflow information had already been used as boundary conditions or constraints in the inversion of uncontrolled interval inflow; using them again as independent verification variables would therefore provide limited independence. By contrast, water-level processes at representative stations </w:t>
      </w:r>
      <w:r>
        <w:rPr>
          <w:rFonts w:hint="eastAsia" w:ascii="Times New Roman" w:hAnsi="Times New Roman" w:eastAsiaTheme="minorEastAsia"/>
          <w:color w:val="auto"/>
          <w:sz w:val="21"/>
          <w:szCs w:val="21"/>
          <w:lang w:eastAsia="zh-CN"/>
        </w:rPr>
        <w:t>reflect</w:t>
      </w:r>
      <w:r>
        <w:rPr>
          <w:rFonts w:ascii="Times New Roman" w:hAnsi="Times New Roman" w:eastAsiaTheme="minorEastAsia"/>
          <w:color w:val="auto"/>
          <w:sz w:val="21"/>
          <w:szCs w:val="21"/>
          <w:lang w:eastAsia="zh-CN"/>
        </w:rPr>
        <w:t xml:space="preserve"> the combined effects of inflow, outflow, uncontrolled interval inflow, storage matching, and backwater effects and thus provide a more demanding test of the model performance for this </w:t>
      </w:r>
      <w:r>
        <w:rPr>
          <w:rFonts w:hint="eastAsia" w:ascii="Times New Roman" w:hAnsi="Times New Roman" w:eastAsiaTheme="minorEastAsia"/>
          <w:color w:val="auto"/>
          <w:sz w:val="21"/>
          <w:szCs w:val="21"/>
          <w:lang w:eastAsia="zh-CN"/>
        </w:rPr>
        <w:t>riverine reservoir</w:t>
      </w:r>
      <w:r>
        <w:rPr>
          <w:rFonts w:ascii="Times New Roman" w:hAnsi="Times New Roman" w:eastAsiaTheme="minorEastAsia"/>
          <w:color w:val="auto"/>
          <w:sz w:val="21"/>
          <w:szCs w:val="21"/>
          <w:lang w:eastAsia="zh-CN"/>
        </w:rPr>
        <w:t xml:space="preserve">. The evaluation metrics include mean error, mean absolute error, error at the highest water level, root mean square error, and maximum absolute error. The water-level comparisons are shown in </w:t>
      </w:r>
      <w:r>
        <w:rPr>
          <w:rFonts w:hint="eastAsia" w:ascii="Times New Roman" w:hAnsi="Times New Roman" w:eastAsiaTheme="minorEastAsia"/>
          <w:color w:val="auto"/>
          <w:sz w:val="21"/>
          <w:szCs w:val="21"/>
          <w:lang w:eastAsia="zh-CN"/>
        </w:rPr>
        <w:t>Fig. 6</w:t>
      </w:r>
      <w:r>
        <w:rPr>
          <w:rFonts w:ascii="Times New Roman" w:hAnsi="Times New Roman" w:eastAsiaTheme="minorEastAsia"/>
          <w:color w:val="auto"/>
          <w:sz w:val="21"/>
          <w:szCs w:val="21"/>
          <w:lang w:eastAsia="zh-CN"/>
        </w:rPr>
        <w:t xml:space="preserve">, and the corresponding error statistics are listed in Table </w:t>
      </w:r>
      <w:r>
        <w:rPr>
          <w:rFonts w:hint="eastAsia" w:ascii="Times New Roman" w:hAnsi="Times New Roman" w:eastAsiaTheme="minorEastAsia"/>
          <w:color w:val="auto"/>
          <w:sz w:val="21"/>
          <w:szCs w:val="21"/>
          <w:lang w:eastAsia="zh-CN"/>
        </w:rPr>
        <w:t>2</w:t>
      </w:r>
      <w:r>
        <w:rPr>
          <w:rFonts w:ascii="Times New Roman" w:hAnsi="Times New Roman" w:eastAsiaTheme="minorEastAsia"/>
          <w:color w:val="auto"/>
          <w:sz w:val="21"/>
          <w:szCs w:val="21"/>
          <w:lang w:eastAsia="zh-CN"/>
        </w:rPr>
        <w:t>.</w:t>
      </w:r>
    </w:p>
    <w:p w14:paraId="5FB2FE78">
      <w:pPr>
        <w:pStyle w:val="34"/>
        <w:ind w:left="0" w:firstLine="420" w:firstLineChars="200"/>
        <w:rPr>
          <w:rFonts w:ascii="Times New Roman" w:hAnsi="Times New Roman" w:eastAsiaTheme="minorEastAsia"/>
          <w:color w:val="auto"/>
          <w:sz w:val="21"/>
          <w:szCs w:val="21"/>
          <w:lang w:eastAsia="zh-CN"/>
        </w:rPr>
      </w:pPr>
    </w:p>
    <w:p w14:paraId="70D91848">
      <w:pPr>
        <w:pStyle w:val="34"/>
        <w:ind w:left="0" w:firstLine="400" w:firstLineChars="200"/>
        <w:jc w:val="center"/>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5039995" cy="4172585"/>
            <wp:effectExtent l="0" t="0" r="8255" b="0"/>
            <wp:docPr id="12215815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81582" name="图片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040000" cy="4173086"/>
                    </a:xfrm>
                    <a:prstGeom prst="rect">
                      <a:avLst/>
                    </a:prstGeom>
                    <a:noFill/>
                    <a:ln>
                      <a:noFill/>
                    </a:ln>
                  </pic:spPr>
                </pic:pic>
              </a:graphicData>
            </a:graphic>
          </wp:inline>
        </w:drawing>
      </w:r>
    </w:p>
    <w:p w14:paraId="5385886D">
      <w:pPr>
        <w:pStyle w:val="34"/>
        <w:ind w:left="0" w:firstLine="400" w:firstLineChars="200"/>
        <w:jc w:val="center"/>
        <w:rPr>
          <w:rFonts w:ascii="Times New Roman" w:hAnsi="Times New Roman" w:eastAsiaTheme="minorEastAsia"/>
          <w:color w:val="auto"/>
          <w:lang w:eastAsia="zh-CN"/>
        </w:rPr>
      </w:pPr>
      <w:r>
        <w:rPr>
          <w:rFonts w:hint="eastAsia" w:ascii="Times New Roman" w:hAnsi="Times New Roman" w:eastAsiaTheme="minorEastAsia"/>
          <w:color w:val="auto"/>
          <w:lang w:eastAsia="zh-CN"/>
        </w:rPr>
        <w:t>Fig. 6</w:t>
      </w:r>
      <w:r>
        <w:rPr>
          <w:rFonts w:ascii="Times New Roman" w:hAnsi="Times New Roman" w:eastAsiaTheme="minorEastAsia"/>
          <w:color w:val="auto"/>
          <w:lang w:eastAsia="zh-CN"/>
        </w:rPr>
        <w:t xml:space="preserve">  Comparison of simulated and observed water-level processes at different hydrological stations</w:t>
      </w:r>
    </w:p>
    <w:p w14:paraId="44CFAA9E">
      <w:pPr>
        <w:pStyle w:val="34"/>
        <w:ind w:left="0" w:firstLine="360" w:firstLineChars="200"/>
        <w:jc w:val="center"/>
        <w:rPr>
          <w:rFonts w:ascii="Times New Roman" w:hAnsi="Times New Roman" w:eastAsia="黑体"/>
          <w:color w:val="auto"/>
          <w:sz w:val="18"/>
          <w:szCs w:val="18"/>
        </w:rPr>
      </w:pPr>
      <w:r>
        <w:rPr>
          <w:rFonts w:ascii="Times New Roman" w:hAnsi="Times New Roman" w:eastAsia="黑体"/>
          <w:color w:val="auto"/>
          <w:sz w:val="18"/>
          <w:szCs w:val="18"/>
          <w:lang w:eastAsia="zh-CN"/>
        </w:rPr>
        <w:t>图</w:t>
      </w:r>
      <w:r>
        <w:rPr>
          <w:rFonts w:hint="eastAsia" w:ascii="Times New Roman" w:hAnsi="Times New Roman" w:eastAsia="黑体"/>
          <w:color w:val="auto"/>
          <w:sz w:val="18"/>
          <w:szCs w:val="18"/>
          <w:lang w:eastAsia="zh-CN"/>
        </w:rPr>
        <w:t>6</w:t>
      </w:r>
      <w:r>
        <w:rPr>
          <w:rFonts w:ascii="Times New Roman" w:hAnsi="Times New Roman" w:eastAsia="黑体"/>
          <w:color w:val="auto"/>
          <w:sz w:val="18"/>
          <w:szCs w:val="18"/>
          <w:lang w:eastAsia="zh-CN"/>
        </w:rPr>
        <w:t xml:space="preserve"> </w:t>
      </w:r>
      <w:r>
        <w:rPr>
          <w:rFonts w:hint="eastAsia" w:ascii="Times New Roman" w:hAnsi="Times New Roman" w:eastAsia="黑体"/>
          <w:color w:val="auto"/>
          <w:sz w:val="18"/>
          <w:szCs w:val="18"/>
        </w:rPr>
        <w:t>不同</w:t>
      </w:r>
      <w:r>
        <w:rPr>
          <w:rFonts w:hint="eastAsia" w:ascii="Times New Roman" w:hAnsi="Times New Roman" w:eastAsia="黑体"/>
          <w:color w:val="auto"/>
          <w:sz w:val="18"/>
          <w:szCs w:val="18"/>
          <w:lang w:eastAsia="zh-CN"/>
        </w:rPr>
        <w:t>水文站</w:t>
      </w:r>
      <w:r>
        <w:rPr>
          <w:rFonts w:hint="eastAsia" w:ascii="Times New Roman" w:hAnsi="Times New Roman" w:eastAsia="黑体"/>
          <w:color w:val="auto"/>
          <w:sz w:val="18"/>
          <w:szCs w:val="18"/>
        </w:rPr>
        <w:t>水位过程模拟结果与实测对比</w:t>
      </w:r>
    </w:p>
    <w:p w14:paraId="6DD15440">
      <w:pPr>
        <w:pStyle w:val="34"/>
        <w:ind w:left="0" w:firstLine="400" w:firstLineChars="200"/>
        <w:rPr>
          <w:rFonts w:ascii="Times New Roman" w:hAnsi="Times New Roman" w:eastAsiaTheme="minorEastAsia"/>
          <w:color w:val="auto"/>
          <w:lang w:eastAsia="zh-CN"/>
        </w:rPr>
      </w:pPr>
    </w:p>
    <w:p w14:paraId="129A07D3">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The verification results indicate that the optimized model reproduces the water-level processes at representative stations along the mainstream reservoir reach with high accuracy. For most stations, the mean error is close to 0 m, the mean absolute error is small, and the error during the high-water-level stage remains within an acceptable range. At key stations such as Changshou, Wanxian, and Wushan, the mean absolute errors are about 0.33, 0.25, and 0.16 m, respectively, indicating that the model captures the longitudinal backwater process during high-water-level operation satisfactorily. These results support its use for subsequent flood-routing calculations of typical floods and identification of operating-water-level boundaries.</w:t>
      </w:r>
    </w:p>
    <w:p w14:paraId="3A2AE4C5">
      <w:pPr>
        <w:pStyle w:val="34"/>
        <w:ind w:left="0" w:firstLine="400" w:firstLineChars="200"/>
        <w:rPr>
          <w:rFonts w:ascii="Times New Roman" w:hAnsi="Times New Roman" w:eastAsiaTheme="minorEastAsia"/>
          <w:color w:val="auto"/>
          <w:lang w:eastAsia="zh-CN"/>
        </w:rPr>
      </w:pPr>
    </w:p>
    <w:p w14:paraId="1A973F79">
      <w:pPr>
        <w:pStyle w:val="42"/>
        <w:spacing w:before="0" w:after="0"/>
        <w:ind w:left="0" w:firstLine="360" w:firstLineChars="200"/>
        <w:jc w:val="right"/>
        <w:rPr>
          <w:rFonts w:ascii="Times New Roman" w:hAnsi="Times New Roman" w:cs="Times New Roman"/>
          <w:b/>
          <w:color w:val="auto"/>
        </w:rPr>
      </w:pPr>
      <w:r>
        <w:rPr>
          <w:rFonts w:ascii="Times New Roman" w:hAnsi="Times New Roman" w:cs="Times New Roman"/>
          <w:b/>
          <w:color w:val="auto"/>
        </w:rPr>
        <w:t xml:space="preserve">Table </w:t>
      </w:r>
      <w:r>
        <w:rPr>
          <w:rFonts w:hint="eastAsia" w:ascii="Times New Roman" w:hAnsi="Times New Roman" w:cs="Times New Roman" w:eastAsiaTheme="minorEastAsia"/>
          <w:b/>
          <w:color w:val="auto"/>
          <w:lang w:eastAsia="zh-CN"/>
        </w:rPr>
        <w:t>2</w:t>
      </w:r>
      <w:r>
        <w:rPr>
          <w:rFonts w:ascii="Times New Roman" w:hAnsi="Times New Roman" w:cs="Times New Roman"/>
          <w:b/>
          <w:color w:val="auto"/>
        </w:rPr>
        <w:t xml:space="preserve">. Model verification conditions and evaluation metrics </w:t>
      </w:r>
      <w:r>
        <w:rPr>
          <w:rFonts w:hint="eastAsia" w:ascii="Times New Roman" w:hAnsi="Times New Roman" w:eastAsia="宋体" w:cs="Times New Roman"/>
          <w:b/>
          <w:color w:val="auto"/>
          <w:lang w:eastAsia="zh-CN"/>
        </w:rPr>
        <w:t xml:space="preserve">                       </w:t>
      </w:r>
      <w:r>
        <w:rPr>
          <w:rFonts w:ascii="Times New Roman" w:hAnsi="Times New Roman" w:cs="Times New Roman"/>
          <w:b/>
          <w:color w:val="auto"/>
        </w:rPr>
        <w:t>m</w:t>
      </w:r>
    </w:p>
    <w:p w14:paraId="376AB9A2">
      <w:pPr>
        <w:pStyle w:val="42"/>
        <w:spacing w:before="0" w:after="0"/>
        <w:ind w:left="0" w:firstLine="361" w:firstLineChars="200"/>
        <w:jc w:val="right"/>
        <w:rPr>
          <w:rFonts w:ascii="Times New Roman" w:hAnsi="Times New Roman" w:cs="Times New Roman"/>
          <w:b/>
          <w:color w:val="auto"/>
        </w:rPr>
      </w:pPr>
      <w:r>
        <w:rPr>
          <w:rFonts w:hint="eastAsia" w:ascii="宋体" w:hAnsi="宋体" w:eastAsia="宋体" w:cs="宋体"/>
          <w:b/>
          <w:color w:val="auto"/>
        </w:rPr>
        <w:t>表</w:t>
      </w:r>
      <w:r>
        <w:rPr>
          <w:rFonts w:hint="eastAsia" w:ascii="Times New Roman" w:hAnsi="Times New Roman" w:cs="Times New Roman" w:eastAsiaTheme="minorEastAsia"/>
          <w:b/>
          <w:color w:val="auto"/>
          <w:lang w:eastAsia="zh-CN"/>
        </w:rPr>
        <w:t>2</w:t>
      </w:r>
      <w:r>
        <w:rPr>
          <w:rFonts w:hint="eastAsia" w:ascii="Times New Roman" w:hAnsi="Times New Roman" w:cs="Times New Roman"/>
          <w:b/>
          <w:color w:val="auto"/>
        </w:rPr>
        <w:t xml:space="preserve"> </w:t>
      </w:r>
      <w:r>
        <w:rPr>
          <w:rFonts w:hint="eastAsia" w:ascii="宋体" w:hAnsi="宋体" w:eastAsia="宋体" w:cs="宋体"/>
          <w:b/>
          <w:color w:val="auto"/>
        </w:rPr>
        <w:t>模型验证工况与评价指标</w:t>
      </w:r>
      <w:r>
        <w:rPr>
          <w:rFonts w:hint="eastAsia" w:ascii="宋体" w:hAnsi="宋体" w:eastAsia="宋体" w:cs="宋体"/>
          <w:b/>
          <w:color w:val="auto"/>
          <w:lang w:eastAsia="zh-CN"/>
        </w:rPr>
        <w:t xml:space="preserve">                             </w:t>
      </w:r>
      <w:r>
        <w:rPr>
          <w:rFonts w:ascii="Times New Roman" w:hAnsi="Times New Roman" w:eastAsia="宋体" w:cs="Times New Roman"/>
          <w:b/>
          <w:color w:val="auto"/>
          <w:lang w:eastAsia="zh-CN"/>
        </w:rPr>
        <w:t>m</w:t>
      </w:r>
    </w:p>
    <w:tbl>
      <w:tblPr>
        <w:tblStyle w:val="52"/>
        <w:tblW w:w="500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4"/>
        <w:gridCol w:w="797"/>
        <w:gridCol w:w="1240"/>
        <w:gridCol w:w="1067"/>
        <w:gridCol w:w="977"/>
        <w:gridCol w:w="624"/>
        <w:gridCol w:w="1522"/>
        <w:gridCol w:w="1471"/>
      </w:tblGrid>
      <w:tr w14:paraId="4F7E12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tcBorders>
              <w:bottom w:val="single" w:color="auto" w:sz="4" w:space="0"/>
              <w:insideH w:val="single" w:sz="4" w:space="0"/>
            </w:tcBorders>
            <w:noWrap/>
            <w:vAlign w:val="center"/>
          </w:tcPr>
          <w:p w14:paraId="146049EE">
            <w:pPr>
              <w:adjustRightInd w:val="0"/>
              <w:snapToGrid w:val="0"/>
              <w:spacing w:before="20" w:after="20" w:line="240" w:lineRule="auto"/>
              <w:jc w:val="center"/>
              <w:rPr>
                <w:rFonts w:ascii="Times New Roman" w:hAnsi="Times New Roman"/>
                <w:b/>
                <w:i w:val="0"/>
                <w:color w:val="auto"/>
                <w:sz w:val="20"/>
              </w:rPr>
            </w:pPr>
            <w:r>
              <w:rPr>
                <w:rFonts w:ascii="Times New Roman" w:hAnsi="Times New Roman"/>
                <w:b/>
                <w:i w:val="0"/>
                <w:color w:val="auto"/>
                <w:sz w:val="20"/>
              </w:rPr>
              <w:t>Station</w:t>
            </w:r>
          </w:p>
        </w:tc>
        <w:tc>
          <w:tcPr>
            <w:tcW w:w="468" w:type="pct"/>
            <w:tcBorders>
              <w:bottom w:val="single" w:color="auto" w:sz="4" w:space="0"/>
              <w:insideH w:val="single" w:sz="4" w:space="0"/>
            </w:tcBorders>
            <w:noWrap/>
            <w:vAlign w:val="center"/>
          </w:tcPr>
          <w:p w14:paraId="4D00ED47">
            <w:pPr>
              <w:adjustRightInd w:val="0"/>
              <w:snapToGrid w:val="0"/>
              <w:spacing w:before="20" w:after="20" w:line="240" w:lineRule="auto"/>
              <w:jc w:val="center"/>
              <w:rPr>
                <w:rFonts w:ascii="Times New Roman" w:hAnsi="Times New Roman"/>
                <w:b/>
                <w:i/>
                <w:iCs/>
                <w:color w:val="auto"/>
                <w:sz w:val="20"/>
              </w:rPr>
            </w:pPr>
            <w:r>
              <w:rPr>
                <w:rFonts w:hint="eastAsia" w:ascii="Times New Roman" w:hAnsi="Times New Roman"/>
                <w:b/>
                <w:i/>
                <w:iCs/>
                <w:color w:val="auto"/>
                <w:sz w:val="20"/>
              </w:rPr>
              <w:t>ME</w:t>
            </w:r>
          </w:p>
        </w:tc>
        <w:tc>
          <w:tcPr>
            <w:tcW w:w="728" w:type="pct"/>
            <w:tcBorders>
              <w:bottom w:val="single" w:color="auto" w:sz="4" w:space="0"/>
              <w:insideH w:val="single" w:sz="4" w:space="0"/>
            </w:tcBorders>
            <w:noWrap/>
            <w:vAlign w:val="center"/>
          </w:tcPr>
          <w:p w14:paraId="379B9103">
            <w:pPr>
              <w:adjustRightInd w:val="0"/>
              <w:snapToGrid w:val="0"/>
              <w:spacing w:before="20" w:after="20" w:line="240" w:lineRule="auto"/>
              <w:jc w:val="center"/>
              <w:rPr>
                <w:rFonts w:ascii="Times New Roman" w:hAnsi="Times New Roman"/>
                <w:b/>
                <w:i/>
                <w:iCs/>
                <w:color w:val="auto"/>
                <w:sz w:val="20"/>
              </w:rPr>
            </w:pPr>
            <w:r>
              <w:rPr>
                <w:rFonts w:hint="eastAsia" w:ascii="Times New Roman" w:hAnsi="Times New Roman"/>
                <w:b/>
                <w:i/>
                <w:iCs/>
                <w:color w:val="auto"/>
                <w:sz w:val="20"/>
              </w:rPr>
              <w:t>MAE</w:t>
            </w:r>
          </w:p>
        </w:tc>
        <w:tc>
          <w:tcPr>
            <w:tcW w:w="626" w:type="pct"/>
            <w:tcBorders>
              <w:bottom w:val="single" w:color="auto" w:sz="4" w:space="0"/>
              <w:insideH w:val="single" w:sz="4" w:space="0"/>
            </w:tcBorders>
            <w:noWrap/>
            <w:vAlign w:val="center"/>
          </w:tcPr>
          <w:p w14:paraId="66170039">
            <w:pPr>
              <w:adjustRightInd w:val="0"/>
              <w:snapToGrid w:val="0"/>
              <w:spacing w:before="20" w:after="20" w:line="240" w:lineRule="auto"/>
              <w:jc w:val="center"/>
              <w:rPr>
                <w:rFonts w:ascii="Times New Roman" w:hAnsi="Times New Roman"/>
                <w:b/>
                <w:i w:val="0"/>
                <w:color w:val="auto"/>
                <w:sz w:val="20"/>
              </w:rPr>
            </w:pPr>
            <w:r>
              <w:rPr>
                <w:rFonts w:ascii="Times New Roman" w:hAnsi="Times New Roman"/>
                <w:b/>
                <w:i w:val="0"/>
                <w:color w:val="auto"/>
                <w:sz w:val="20"/>
              </w:rPr>
              <w:t>Maximum error</w:t>
            </w:r>
          </w:p>
        </w:tc>
        <w:tc>
          <w:tcPr>
            <w:tcW w:w="573" w:type="pct"/>
            <w:tcBorders>
              <w:bottom w:val="single" w:color="auto" w:sz="4" w:space="0"/>
              <w:insideH w:val="single" w:sz="4" w:space="0"/>
            </w:tcBorders>
            <w:noWrap/>
            <w:vAlign w:val="center"/>
          </w:tcPr>
          <w:p w14:paraId="1B706646">
            <w:pPr>
              <w:adjustRightInd w:val="0"/>
              <w:snapToGrid w:val="0"/>
              <w:spacing w:before="20" w:after="20" w:line="240" w:lineRule="auto"/>
              <w:jc w:val="center"/>
              <w:rPr>
                <w:rFonts w:ascii="Times New Roman" w:hAnsi="Times New Roman"/>
                <w:b/>
                <w:i w:val="0"/>
                <w:color w:val="auto"/>
                <w:sz w:val="20"/>
              </w:rPr>
            </w:pPr>
            <w:r>
              <w:rPr>
                <w:rFonts w:ascii="Times New Roman" w:hAnsi="Times New Roman"/>
                <w:b/>
                <w:i w:val="0"/>
                <w:color w:val="auto"/>
                <w:sz w:val="20"/>
              </w:rPr>
              <w:t>Minimum error</w:t>
            </w:r>
          </w:p>
        </w:tc>
        <w:tc>
          <w:tcPr>
            <w:tcW w:w="366" w:type="pct"/>
            <w:tcBorders>
              <w:bottom w:val="single" w:color="auto" w:sz="4" w:space="0"/>
              <w:insideH w:val="single" w:sz="4" w:space="0"/>
            </w:tcBorders>
            <w:noWrap/>
            <w:vAlign w:val="center"/>
          </w:tcPr>
          <w:p w14:paraId="42103D8F">
            <w:pPr>
              <w:adjustRightInd w:val="0"/>
              <w:snapToGrid w:val="0"/>
              <w:spacing w:before="20" w:after="20" w:line="240" w:lineRule="auto"/>
              <w:jc w:val="center"/>
              <w:rPr>
                <w:rFonts w:ascii="Times New Roman" w:hAnsi="Times New Roman"/>
                <w:b/>
                <w:i w:val="0"/>
                <w:color w:val="auto"/>
                <w:sz w:val="20"/>
              </w:rPr>
            </w:pPr>
            <w:r>
              <w:rPr>
                <w:rFonts w:ascii="Times New Roman" w:hAnsi="Times New Roman"/>
                <w:b/>
                <w:i/>
                <w:iCs/>
                <w:color w:val="auto"/>
                <w:sz w:val="20"/>
              </w:rPr>
              <w:t>RMSE</w:t>
            </w:r>
          </w:p>
        </w:tc>
        <w:tc>
          <w:tcPr>
            <w:tcW w:w="893" w:type="pct"/>
            <w:tcBorders>
              <w:bottom w:val="single" w:color="auto" w:sz="4" w:space="0"/>
              <w:insideH w:val="single" w:sz="4" w:space="0"/>
            </w:tcBorders>
            <w:noWrap/>
            <w:vAlign w:val="center"/>
          </w:tcPr>
          <w:p w14:paraId="04165E49">
            <w:pPr>
              <w:adjustRightInd w:val="0"/>
              <w:snapToGrid w:val="0"/>
              <w:spacing w:before="20" w:after="20" w:line="240" w:lineRule="auto"/>
              <w:jc w:val="center"/>
              <w:rPr>
                <w:rFonts w:ascii="Times New Roman" w:hAnsi="Times New Roman"/>
                <w:b/>
                <w:i w:val="0"/>
                <w:color w:val="auto"/>
                <w:sz w:val="20"/>
              </w:rPr>
            </w:pPr>
            <w:r>
              <w:rPr>
                <w:rFonts w:ascii="Times New Roman" w:hAnsi="Times New Roman"/>
                <w:b/>
                <w:i w:val="0"/>
                <w:color w:val="auto"/>
                <w:sz w:val="20"/>
              </w:rPr>
              <w:t>Error at highest water level</w:t>
            </w:r>
          </w:p>
        </w:tc>
        <w:tc>
          <w:tcPr>
            <w:tcW w:w="864" w:type="pct"/>
            <w:tcBorders>
              <w:bottom w:val="single" w:color="auto" w:sz="4" w:space="0"/>
              <w:insideH w:val="single" w:sz="4" w:space="0"/>
            </w:tcBorders>
            <w:noWrap/>
            <w:vAlign w:val="center"/>
          </w:tcPr>
          <w:p w14:paraId="692BC6FF">
            <w:pPr>
              <w:adjustRightInd w:val="0"/>
              <w:snapToGrid w:val="0"/>
              <w:spacing w:before="20" w:after="20" w:line="240" w:lineRule="auto"/>
              <w:jc w:val="center"/>
              <w:rPr>
                <w:rFonts w:ascii="Times New Roman" w:hAnsi="Times New Roman"/>
                <w:b/>
                <w:i w:val="0"/>
                <w:color w:val="auto"/>
                <w:sz w:val="20"/>
              </w:rPr>
            </w:pPr>
            <w:r>
              <w:rPr>
                <w:rFonts w:ascii="Times New Roman" w:hAnsi="Times New Roman"/>
                <w:b/>
                <w:i w:val="0"/>
                <w:color w:val="auto"/>
                <w:sz w:val="20"/>
              </w:rPr>
              <w:t>Maximum absolute error</w:t>
            </w:r>
          </w:p>
        </w:tc>
      </w:tr>
      <w:tr w14:paraId="28B8492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3297DD77">
            <w:pPr>
              <w:adjustRightInd w:val="0"/>
              <w:snapToGrid w:val="0"/>
              <w:spacing w:before="20" w:after="20" w:line="240" w:lineRule="auto"/>
              <w:jc w:val="center"/>
              <w:rPr>
                <w:rFonts w:ascii="Times New Roman" w:hAnsi="Times New Roman"/>
                <w:color w:val="auto"/>
              </w:rPr>
            </w:pPr>
            <w:r>
              <w:rPr>
                <w:rFonts w:ascii="Times New Roman" w:hAnsi="Times New Roman"/>
                <w:color w:val="auto"/>
              </w:rPr>
              <w:t>Cuntan</w:t>
            </w:r>
          </w:p>
        </w:tc>
        <w:tc>
          <w:tcPr>
            <w:tcW w:w="468" w:type="pct"/>
            <w:noWrap/>
            <w:vAlign w:val="center"/>
          </w:tcPr>
          <w:p w14:paraId="0717DD79">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0.14</w:t>
            </w:r>
          </w:p>
        </w:tc>
        <w:tc>
          <w:tcPr>
            <w:tcW w:w="728" w:type="pct"/>
            <w:noWrap/>
            <w:vAlign w:val="center"/>
          </w:tcPr>
          <w:p w14:paraId="39982A1F">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0.30</w:t>
            </w:r>
          </w:p>
        </w:tc>
        <w:tc>
          <w:tcPr>
            <w:tcW w:w="626" w:type="pct"/>
            <w:noWrap/>
            <w:vAlign w:val="center"/>
          </w:tcPr>
          <w:p w14:paraId="1D94C5D3">
            <w:pPr>
              <w:adjustRightInd w:val="0"/>
              <w:snapToGrid w:val="0"/>
              <w:spacing w:before="20" w:after="20" w:line="240" w:lineRule="auto"/>
              <w:jc w:val="center"/>
              <w:rPr>
                <w:rFonts w:ascii="Times New Roman" w:hAnsi="Times New Roman"/>
                <w:color w:val="auto"/>
              </w:rPr>
            </w:pPr>
            <w:r>
              <w:rPr>
                <w:rFonts w:ascii="Times New Roman" w:hAnsi="Times New Roman"/>
                <w:color w:val="auto"/>
              </w:rPr>
              <w:t>1.74</w:t>
            </w:r>
          </w:p>
        </w:tc>
        <w:tc>
          <w:tcPr>
            <w:tcW w:w="573" w:type="pct"/>
            <w:noWrap/>
            <w:vAlign w:val="center"/>
          </w:tcPr>
          <w:p w14:paraId="6F75EBF8">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-0.42</w:t>
            </w:r>
          </w:p>
        </w:tc>
        <w:tc>
          <w:tcPr>
            <w:tcW w:w="366" w:type="pct"/>
            <w:noWrap/>
            <w:vAlign w:val="center"/>
          </w:tcPr>
          <w:p w14:paraId="19EA6B67">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0.43</w:t>
            </w:r>
          </w:p>
        </w:tc>
        <w:tc>
          <w:tcPr>
            <w:tcW w:w="893" w:type="pct"/>
            <w:noWrap/>
            <w:vAlign w:val="center"/>
          </w:tcPr>
          <w:p w14:paraId="51270DE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1.54</w:t>
            </w:r>
          </w:p>
        </w:tc>
        <w:tc>
          <w:tcPr>
            <w:tcW w:w="864" w:type="pct"/>
            <w:noWrap/>
            <w:vAlign w:val="center"/>
          </w:tcPr>
          <w:p w14:paraId="624C6B2B">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1.74</w:t>
            </w:r>
          </w:p>
        </w:tc>
      </w:tr>
      <w:tr w14:paraId="48D89B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40DC4D84">
            <w:pPr>
              <w:adjustRightInd w:val="0"/>
              <w:snapToGrid w:val="0"/>
              <w:spacing w:before="20" w:after="20" w:line="240" w:lineRule="auto"/>
              <w:jc w:val="center"/>
              <w:rPr>
                <w:rFonts w:ascii="Times New Roman" w:hAnsi="Times New Roman"/>
                <w:color w:val="auto"/>
              </w:rPr>
            </w:pPr>
            <w:r>
              <w:rPr>
                <w:rFonts w:ascii="Times New Roman" w:hAnsi="Times New Roman"/>
                <w:color w:val="auto"/>
              </w:rPr>
              <w:t>Changshou</w:t>
            </w:r>
          </w:p>
        </w:tc>
        <w:tc>
          <w:tcPr>
            <w:tcW w:w="468" w:type="pct"/>
            <w:noWrap/>
            <w:vAlign w:val="center"/>
          </w:tcPr>
          <w:p w14:paraId="5E9698B1">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0.06</w:t>
            </w:r>
          </w:p>
        </w:tc>
        <w:tc>
          <w:tcPr>
            <w:tcW w:w="728" w:type="pct"/>
            <w:noWrap/>
            <w:vAlign w:val="center"/>
          </w:tcPr>
          <w:p w14:paraId="526CB30A">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0.33</w:t>
            </w:r>
          </w:p>
        </w:tc>
        <w:tc>
          <w:tcPr>
            <w:tcW w:w="626" w:type="pct"/>
            <w:noWrap/>
            <w:vAlign w:val="center"/>
          </w:tcPr>
          <w:p w14:paraId="2F1D6053">
            <w:pPr>
              <w:adjustRightInd w:val="0"/>
              <w:snapToGrid w:val="0"/>
              <w:spacing w:before="20" w:after="20" w:line="240" w:lineRule="auto"/>
              <w:jc w:val="center"/>
              <w:rPr>
                <w:rFonts w:ascii="Times New Roman" w:hAnsi="Times New Roman"/>
                <w:color w:val="auto"/>
              </w:rPr>
            </w:pPr>
            <w:r>
              <w:rPr>
                <w:rFonts w:ascii="Times New Roman" w:hAnsi="Times New Roman"/>
                <w:color w:val="auto"/>
              </w:rPr>
              <w:t>1.95</w:t>
            </w:r>
          </w:p>
        </w:tc>
        <w:tc>
          <w:tcPr>
            <w:tcW w:w="573" w:type="pct"/>
            <w:noWrap/>
            <w:vAlign w:val="center"/>
          </w:tcPr>
          <w:p w14:paraId="150513E4">
            <w:pPr>
              <w:adjustRightInd w:val="0"/>
              <w:snapToGrid w:val="0"/>
              <w:spacing w:before="20" w:after="20" w:line="240" w:lineRule="auto"/>
              <w:jc w:val="center"/>
              <w:rPr>
                <w:rFonts w:ascii="Times New Roman" w:hAnsi="Times New Roman"/>
                <w:color w:val="auto"/>
              </w:rPr>
            </w:pPr>
            <w:r>
              <w:rPr>
                <w:rFonts w:ascii="Times New Roman" w:hAnsi="Times New Roman"/>
                <w:color w:val="auto"/>
              </w:rPr>
              <w:t>-0.85</w:t>
            </w:r>
          </w:p>
        </w:tc>
        <w:tc>
          <w:tcPr>
            <w:tcW w:w="366" w:type="pct"/>
            <w:noWrap/>
            <w:vAlign w:val="center"/>
          </w:tcPr>
          <w:p w14:paraId="7ED8CD18">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0.48</w:t>
            </w:r>
          </w:p>
        </w:tc>
        <w:tc>
          <w:tcPr>
            <w:tcW w:w="893" w:type="pct"/>
            <w:noWrap/>
            <w:vAlign w:val="center"/>
          </w:tcPr>
          <w:p w14:paraId="5E41058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0.17</w:t>
            </w:r>
          </w:p>
        </w:tc>
        <w:tc>
          <w:tcPr>
            <w:tcW w:w="864" w:type="pct"/>
            <w:noWrap/>
            <w:vAlign w:val="center"/>
          </w:tcPr>
          <w:p w14:paraId="7F7F11B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1.95</w:t>
            </w:r>
          </w:p>
        </w:tc>
      </w:tr>
      <w:tr w14:paraId="0561851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38C743C1">
            <w:pPr>
              <w:adjustRightInd w:val="0"/>
              <w:snapToGrid w:val="0"/>
              <w:spacing w:before="20" w:after="20" w:line="240" w:lineRule="auto"/>
              <w:jc w:val="center"/>
              <w:rPr>
                <w:rFonts w:ascii="Times New Roman" w:hAnsi="Times New Roman"/>
                <w:color w:val="auto"/>
              </w:rPr>
            </w:pPr>
            <w:r>
              <w:rPr>
                <w:rFonts w:ascii="Times New Roman" w:hAnsi="Times New Roman"/>
                <w:color w:val="auto"/>
              </w:rPr>
              <w:t>Beigong</w:t>
            </w:r>
          </w:p>
        </w:tc>
        <w:tc>
          <w:tcPr>
            <w:tcW w:w="468" w:type="pct"/>
            <w:noWrap/>
            <w:vAlign w:val="center"/>
          </w:tcPr>
          <w:p w14:paraId="4F7F147C">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0.03</w:t>
            </w:r>
          </w:p>
        </w:tc>
        <w:tc>
          <w:tcPr>
            <w:tcW w:w="728" w:type="pct"/>
            <w:noWrap/>
            <w:vAlign w:val="center"/>
          </w:tcPr>
          <w:p w14:paraId="5941BCED">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0.34</w:t>
            </w:r>
          </w:p>
        </w:tc>
        <w:tc>
          <w:tcPr>
            <w:tcW w:w="626" w:type="pct"/>
            <w:noWrap/>
            <w:vAlign w:val="center"/>
          </w:tcPr>
          <w:p w14:paraId="49F9AECF">
            <w:pPr>
              <w:adjustRightInd w:val="0"/>
              <w:snapToGrid w:val="0"/>
              <w:spacing w:before="20" w:after="20" w:line="240" w:lineRule="auto"/>
              <w:jc w:val="center"/>
              <w:rPr>
                <w:rFonts w:ascii="Times New Roman" w:hAnsi="Times New Roman"/>
                <w:color w:val="auto"/>
              </w:rPr>
            </w:pPr>
            <w:r>
              <w:rPr>
                <w:rFonts w:ascii="Times New Roman" w:hAnsi="Times New Roman"/>
                <w:color w:val="auto"/>
              </w:rPr>
              <w:t>1.55</w:t>
            </w:r>
          </w:p>
        </w:tc>
        <w:tc>
          <w:tcPr>
            <w:tcW w:w="573" w:type="pct"/>
            <w:noWrap/>
            <w:vAlign w:val="center"/>
          </w:tcPr>
          <w:p w14:paraId="0AB40575">
            <w:pPr>
              <w:adjustRightInd w:val="0"/>
              <w:snapToGrid w:val="0"/>
              <w:spacing w:before="20" w:after="20" w:line="240" w:lineRule="auto"/>
              <w:jc w:val="center"/>
              <w:rPr>
                <w:rFonts w:ascii="Times New Roman" w:hAnsi="Times New Roman"/>
                <w:color w:val="auto"/>
              </w:rPr>
            </w:pPr>
            <w:r>
              <w:rPr>
                <w:rFonts w:ascii="Times New Roman" w:hAnsi="Times New Roman"/>
                <w:color w:val="auto"/>
              </w:rPr>
              <w:t>-1.07</w:t>
            </w:r>
          </w:p>
        </w:tc>
        <w:tc>
          <w:tcPr>
            <w:tcW w:w="366" w:type="pct"/>
            <w:noWrap/>
            <w:vAlign w:val="center"/>
          </w:tcPr>
          <w:p w14:paraId="37420D35">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0.49</w:t>
            </w:r>
          </w:p>
        </w:tc>
        <w:tc>
          <w:tcPr>
            <w:tcW w:w="893" w:type="pct"/>
            <w:noWrap/>
            <w:vAlign w:val="center"/>
          </w:tcPr>
          <w:p w14:paraId="7C016A77">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-0.04</w:t>
            </w:r>
          </w:p>
        </w:tc>
        <w:tc>
          <w:tcPr>
            <w:tcW w:w="864" w:type="pct"/>
            <w:noWrap/>
            <w:vAlign w:val="center"/>
          </w:tcPr>
          <w:p w14:paraId="5D5E4A9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1.55</w:t>
            </w:r>
          </w:p>
        </w:tc>
      </w:tr>
      <w:tr w14:paraId="4F92C78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093C6ABA">
            <w:pPr>
              <w:adjustRightInd w:val="0"/>
              <w:snapToGrid w:val="0"/>
              <w:spacing w:before="20" w:after="20" w:line="240" w:lineRule="auto"/>
              <w:jc w:val="center"/>
              <w:rPr>
                <w:rFonts w:ascii="Times New Roman" w:hAnsi="Times New Roman"/>
                <w:color w:val="auto"/>
              </w:rPr>
            </w:pPr>
            <w:r>
              <w:rPr>
                <w:rFonts w:ascii="Times New Roman" w:hAnsi="Times New Roman"/>
                <w:color w:val="auto"/>
              </w:rPr>
              <w:t>Qingxichang</w:t>
            </w:r>
          </w:p>
        </w:tc>
        <w:tc>
          <w:tcPr>
            <w:tcW w:w="468" w:type="pct"/>
            <w:noWrap/>
            <w:vAlign w:val="center"/>
          </w:tcPr>
          <w:p w14:paraId="6DD71618">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0.07</w:t>
            </w:r>
          </w:p>
        </w:tc>
        <w:tc>
          <w:tcPr>
            <w:tcW w:w="728" w:type="pct"/>
            <w:noWrap/>
            <w:vAlign w:val="center"/>
          </w:tcPr>
          <w:p w14:paraId="6F777D38">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0.35</w:t>
            </w:r>
          </w:p>
        </w:tc>
        <w:tc>
          <w:tcPr>
            <w:tcW w:w="626" w:type="pct"/>
            <w:noWrap/>
            <w:vAlign w:val="center"/>
          </w:tcPr>
          <w:p w14:paraId="560BB9C4">
            <w:pPr>
              <w:adjustRightInd w:val="0"/>
              <w:snapToGrid w:val="0"/>
              <w:spacing w:before="20" w:after="20" w:line="240" w:lineRule="auto"/>
              <w:jc w:val="center"/>
              <w:rPr>
                <w:rFonts w:ascii="Times New Roman" w:hAnsi="Times New Roman"/>
                <w:color w:val="auto"/>
              </w:rPr>
            </w:pPr>
            <w:r>
              <w:rPr>
                <w:rFonts w:ascii="Times New Roman" w:hAnsi="Times New Roman"/>
                <w:color w:val="auto"/>
              </w:rPr>
              <w:t>1.66</w:t>
            </w:r>
          </w:p>
        </w:tc>
        <w:tc>
          <w:tcPr>
            <w:tcW w:w="573" w:type="pct"/>
            <w:noWrap/>
            <w:vAlign w:val="center"/>
          </w:tcPr>
          <w:p w14:paraId="1AE267C0">
            <w:pPr>
              <w:adjustRightInd w:val="0"/>
              <w:snapToGrid w:val="0"/>
              <w:spacing w:before="20" w:after="20" w:line="240" w:lineRule="auto"/>
              <w:jc w:val="center"/>
              <w:rPr>
                <w:rFonts w:ascii="Times New Roman" w:hAnsi="Times New Roman"/>
                <w:color w:val="auto"/>
              </w:rPr>
            </w:pPr>
            <w:r>
              <w:rPr>
                <w:rFonts w:ascii="Times New Roman" w:hAnsi="Times New Roman"/>
                <w:color w:val="auto"/>
              </w:rPr>
              <w:t>-1.00</w:t>
            </w:r>
          </w:p>
        </w:tc>
        <w:tc>
          <w:tcPr>
            <w:tcW w:w="366" w:type="pct"/>
            <w:noWrap/>
            <w:vAlign w:val="center"/>
          </w:tcPr>
          <w:p w14:paraId="7AB2F887">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0.49</w:t>
            </w:r>
          </w:p>
        </w:tc>
        <w:tc>
          <w:tcPr>
            <w:tcW w:w="893" w:type="pct"/>
            <w:noWrap/>
            <w:vAlign w:val="center"/>
          </w:tcPr>
          <w:p w14:paraId="3EF553B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0.05</w:t>
            </w:r>
          </w:p>
        </w:tc>
        <w:tc>
          <w:tcPr>
            <w:tcW w:w="864" w:type="pct"/>
            <w:noWrap/>
            <w:vAlign w:val="center"/>
          </w:tcPr>
          <w:p w14:paraId="6498A8DB">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1.66</w:t>
            </w:r>
          </w:p>
        </w:tc>
      </w:tr>
      <w:tr w14:paraId="491F393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4CFE5EF0">
            <w:pPr>
              <w:adjustRightInd w:val="0"/>
              <w:snapToGrid w:val="0"/>
              <w:spacing w:before="20" w:after="20" w:line="240" w:lineRule="auto"/>
              <w:jc w:val="center"/>
              <w:rPr>
                <w:rFonts w:ascii="Times New Roman" w:hAnsi="Times New Roman"/>
                <w:color w:val="auto"/>
              </w:rPr>
            </w:pPr>
            <w:r>
              <w:rPr>
                <w:rFonts w:ascii="Times New Roman" w:hAnsi="Times New Roman"/>
                <w:color w:val="auto"/>
              </w:rPr>
              <w:t>Baishatuo</w:t>
            </w:r>
          </w:p>
        </w:tc>
        <w:tc>
          <w:tcPr>
            <w:tcW w:w="468" w:type="pct"/>
            <w:noWrap/>
            <w:vAlign w:val="center"/>
          </w:tcPr>
          <w:p w14:paraId="558CFA8C">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0.01</w:t>
            </w:r>
          </w:p>
        </w:tc>
        <w:tc>
          <w:tcPr>
            <w:tcW w:w="728" w:type="pct"/>
            <w:noWrap/>
            <w:vAlign w:val="center"/>
          </w:tcPr>
          <w:p w14:paraId="1C74B324">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0.31</w:t>
            </w:r>
          </w:p>
        </w:tc>
        <w:tc>
          <w:tcPr>
            <w:tcW w:w="626" w:type="pct"/>
            <w:noWrap/>
            <w:vAlign w:val="center"/>
          </w:tcPr>
          <w:p w14:paraId="44091D3B">
            <w:pPr>
              <w:adjustRightInd w:val="0"/>
              <w:snapToGrid w:val="0"/>
              <w:spacing w:before="20" w:after="20" w:line="240" w:lineRule="auto"/>
              <w:jc w:val="center"/>
              <w:rPr>
                <w:rFonts w:ascii="Times New Roman" w:hAnsi="Times New Roman"/>
                <w:color w:val="auto"/>
              </w:rPr>
            </w:pPr>
            <w:r>
              <w:rPr>
                <w:rFonts w:ascii="Times New Roman" w:hAnsi="Times New Roman"/>
                <w:color w:val="auto"/>
              </w:rPr>
              <w:t>1.41</w:t>
            </w:r>
          </w:p>
        </w:tc>
        <w:tc>
          <w:tcPr>
            <w:tcW w:w="573" w:type="pct"/>
            <w:noWrap/>
            <w:vAlign w:val="center"/>
          </w:tcPr>
          <w:p w14:paraId="2CB34045">
            <w:pPr>
              <w:adjustRightInd w:val="0"/>
              <w:snapToGrid w:val="0"/>
              <w:spacing w:before="20" w:after="20" w:line="240" w:lineRule="auto"/>
              <w:jc w:val="center"/>
              <w:rPr>
                <w:rFonts w:ascii="Times New Roman" w:hAnsi="Times New Roman"/>
                <w:color w:val="auto"/>
              </w:rPr>
            </w:pPr>
            <w:r>
              <w:rPr>
                <w:rFonts w:ascii="Times New Roman" w:hAnsi="Times New Roman"/>
                <w:color w:val="auto"/>
              </w:rPr>
              <w:t>-1.40</w:t>
            </w:r>
          </w:p>
        </w:tc>
        <w:tc>
          <w:tcPr>
            <w:tcW w:w="366" w:type="pct"/>
            <w:noWrap/>
            <w:vAlign w:val="center"/>
          </w:tcPr>
          <w:p w14:paraId="73B556C1">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0.46</w:t>
            </w:r>
          </w:p>
        </w:tc>
        <w:tc>
          <w:tcPr>
            <w:tcW w:w="893" w:type="pct"/>
            <w:noWrap/>
            <w:vAlign w:val="center"/>
          </w:tcPr>
          <w:p w14:paraId="0ECE1317">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0.06</w:t>
            </w:r>
          </w:p>
        </w:tc>
        <w:tc>
          <w:tcPr>
            <w:tcW w:w="864" w:type="pct"/>
            <w:noWrap/>
            <w:vAlign w:val="center"/>
          </w:tcPr>
          <w:p w14:paraId="12BF1F44">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1.41</w:t>
            </w:r>
          </w:p>
        </w:tc>
      </w:tr>
      <w:tr w14:paraId="72FD503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4DE3A237">
            <w:pPr>
              <w:adjustRightInd w:val="0"/>
              <w:snapToGrid w:val="0"/>
              <w:spacing w:before="20" w:after="20" w:line="240" w:lineRule="auto"/>
              <w:jc w:val="center"/>
              <w:rPr>
                <w:rFonts w:ascii="Times New Roman" w:hAnsi="Times New Roman"/>
                <w:color w:val="auto"/>
              </w:rPr>
            </w:pPr>
            <w:r>
              <w:rPr>
                <w:rFonts w:ascii="Times New Roman" w:hAnsi="Times New Roman"/>
                <w:color w:val="auto"/>
              </w:rPr>
              <w:t>Zhongxian</w:t>
            </w:r>
          </w:p>
        </w:tc>
        <w:tc>
          <w:tcPr>
            <w:tcW w:w="468" w:type="pct"/>
            <w:noWrap/>
            <w:vAlign w:val="center"/>
          </w:tcPr>
          <w:p w14:paraId="30D2F5A4">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0.07</w:t>
            </w:r>
          </w:p>
        </w:tc>
        <w:tc>
          <w:tcPr>
            <w:tcW w:w="728" w:type="pct"/>
            <w:noWrap/>
            <w:vAlign w:val="center"/>
          </w:tcPr>
          <w:p w14:paraId="2826705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0.27</w:t>
            </w:r>
          </w:p>
        </w:tc>
        <w:tc>
          <w:tcPr>
            <w:tcW w:w="626" w:type="pct"/>
            <w:noWrap/>
            <w:vAlign w:val="center"/>
          </w:tcPr>
          <w:p w14:paraId="65B18D2E">
            <w:pPr>
              <w:adjustRightInd w:val="0"/>
              <w:snapToGrid w:val="0"/>
              <w:spacing w:before="20" w:after="20" w:line="240" w:lineRule="auto"/>
              <w:jc w:val="center"/>
              <w:rPr>
                <w:rFonts w:ascii="Times New Roman" w:hAnsi="Times New Roman"/>
                <w:color w:val="auto"/>
              </w:rPr>
            </w:pPr>
            <w:r>
              <w:rPr>
                <w:rFonts w:ascii="Times New Roman" w:hAnsi="Times New Roman"/>
                <w:color w:val="auto"/>
              </w:rPr>
              <w:t>1.45</w:t>
            </w:r>
          </w:p>
        </w:tc>
        <w:tc>
          <w:tcPr>
            <w:tcW w:w="573" w:type="pct"/>
            <w:noWrap/>
            <w:vAlign w:val="center"/>
          </w:tcPr>
          <w:p w14:paraId="6781FF0A">
            <w:pPr>
              <w:adjustRightInd w:val="0"/>
              <w:snapToGrid w:val="0"/>
              <w:spacing w:before="20" w:after="20" w:line="240" w:lineRule="auto"/>
              <w:jc w:val="center"/>
              <w:rPr>
                <w:rFonts w:ascii="Times New Roman" w:hAnsi="Times New Roman"/>
                <w:color w:val="auto"/>
              </w:rPr>
            </w:pPr>
            <w:r>
              <w:rPr>
                <w:rFonts w:ascii="Times New Roman" w:hAnsi="Times New Roman"/>
                <w:color w:val="auto"/>
              </w:rPr>
              <w:t>-0.96</w:t>
            </w:r>
          </w:p>
        </w:tc>
        <w:tc>
          <w:tcPr>
            <w:tcW w:w="366" w:type="pct"/>
            <w:noWrap/>
            <w:vAlign w:val="center"/>
          </w:tcPr>
          <w:p w14:paraId="012220F7">
            <w:pPr>
              <w:adjustRightInd w:val="0"/>
              <w:snapToGrid w:val="0"/>
              <w:spacing w:before="20" w:after="20" w:line="240" w:lineRule="auto"/>
              <w:jc w:val="center"/>
              <w:rPr>
                <w:rFonts w:ascii="Times New Roman" w:hAnsi="Times New Roman"/>
                <w:color w:val="auto"/>
              </w:rPr>
            </w:pPr>
            <w:r>
              <w:rPr>
                <w:rFonts w:ascii="Times New Roman" w:hAnsi="Times New Roman"/>
                <w:color w:val="auto"/>
              </w:rPr>
              <w:t>0.39</w:t>
            </w:r>
          </w:p>
        </w:tc>
        <w:tc>
          <w:tcPr>
            <w:tcW w:w="893" w:type="pct"/>
            <w:noWrap/>
            <w:vAlign w:val="center"/>
          </w:tcPr>
          <w:p w14:paraId="155760A6">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0.14</w:t>
            </w:r>
          </w:p>
        </w:tc>
        <w:tc>
          <w:tcPr>
            <w:tcW w:w="864" w:type="pct"/>
            <w:noWrap/>
            <w:vAlign w:val="center"/>
          </w:tcPr>
          <w:p w14:paraId="54238DA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1.45</w:t>
            </w:r>
          </w:p>
        </w:tc>
      </w:tr>
      <w:tr w14:paraId="5895E10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7AFB0D5E">
            <w:pPr>
              <w:adjustRightInd w:val="0"/>
              <w:snapToGrid w:val="0"/>
              <w:spacing w:before="20" w:after="20" w:line="240" w:lineRule="auto"/>
              <w:jc w:val="center"/>
              <w:rPr>
                <w:rFonts w:ascii="Times New Roman" w:hAnsi="Times New Roman"/>
                <w:color w:val="auto"/>
              </w:rPr>
            </w:pPr>
            <w:r>
              <w:rPr>
                <w:rFonts w:ascii="Times New Roman" w:hAnsi="Times New Roman"/>
                <w:color w:val="auto"/>
              </w:rPr>
              <w:t>Shibaozhai</w:t>
            </w:r>
          </w:p>
        </w:tc>
        <w:tc>
          <w:tcPr>
            <w:tcW w:w="468" w:type="pct"/>
            <w:noWrap/>
            <w:vAlign w:val="center"/>
          </w:tcPr>
          <w:p w14:paraId="0C3CC29E">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0.10</w:t>
            </w:r>
          </w:p>
        </w:tc>
        <w:tc>
          <w:tcPr>
            <w:tcW w:w="728" w:type="pct"/>
            <w:noWrap/>
            <w:vAlign w:val="center"/>
          </w:tcPr>
          <w:p w14:paraId="1202D76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0.27</w:t>
            </w:r>
          </w:p>
        </w:tc>
        <w:tc>
          <w:tcPr>
            <w:tcW w:w="626" w:type="pct"/>
            <w:noWrap/>
            <w:vAlign w:val="center"/>
          </w:tcPr>
          <w:p w14:paraId="120F5B00">
            <w:pPr>
              <w:adjustRightInd w:val="0"/>
              <w:snapToGrid w:val="0"/>
              <w:spacing w:before="20" w:after="20" w:line="240" w:lineRule="auto"/>
              <w:jc w:val="center"/>
              <w:rPr>
                <w:rFonts w:ascii="Times New Roman" w:hAnsi="Times New Roman"/>
                <w:color w:val="auto"/>
              </w:rPr>
            </w:pPr>
            <w:r>
              <w:rPr>
                <w:rFonts w:ascii="Times New Roman" w:hAnsi="Times New Roman"/>
                <w:color w:val="auto"/>
              </w:rPr>
              <w:t>1.45</w:t>
            </w:r>
          </w:p>
        </w:tc>
        <w:tc>
          <w:tcPr>
            <w:tcW w:w="573" w:type="pct"/>
            <w:noWrap/>
            <w:vAlign w:val="center"/>
          </w:tcPr>
          <w:p w14:paraId="7222BFC7">
            <w:pPr>
              <w:adjustRightInd w:val="0"/>
              <w:snapToGrid w:val="0"/>
              <w:spacing w:before="20" w:after="20" w:line="240" w:lineRule="auto"/>
              <w:jc w:val="center"/>
              <w:rPr>
                <w:rFonts w:ascii="Times New Roman" w:hAnsi="Times New Roman"/>
                <w:color w:val="auto"/>
              </w:rPr>
            </w:pPr>
            <w:r>
              <w:rPr>
                <w:rFonts w:ascii="Times New Roman" w:hAnsi="Times New Roman"/>
                <w:color w:val="auto"/>
              </w:rPr>
              <w:t>-0.93</w:t>
            </w:r>
          </w:p>
        </w:tc>
        <w:tc>
          <w:tcPr>
            <w:tcW w:w="366" w:type="pct"/>
            <w:noWrap/>
            <w:vAlign w:val="center"/>
          </w:tcPr>
          <w:p w14:paraId="3A2418A6">
            <w:pPr>
              <w:adjustRightInd w:val="0"/>
              <w:snapToGrid w:val="0"/>
              <w:spacing w:before="20" w:after="20" w:line="240" w:lineRule="auto"/>
              <w:jc w:val="center"/>
              <w:rPr>
                <w:rFonts w:ascii="Times New Roman" w:hAnsi="Times New Roman"/>
                <w:color w:val="auto"/>
              </w:rPr>
            </w:pPr>
            <w:r>
              <w:rPr>
                <w:rFonts w:ascii="Times New Roman" w:hAnsi="Times New Roman"/>
                <w:color w:val="auto"/>
              </w:rPr>
              <w:t>0.39</w:t>
            </w:r>
          </w:p>
        </w:tc>
        <w:tc>
          <w:tcPr>
            <w:tcW w:w="893" w:type="pct"/>
            <w:noWrap/>
            <w:vAlign w:val="center"/>
          </w:tcPr>
          <w:p w14:paraId="15D26C9A">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0.04</w:t>
            </w:r>
          </w:p>
        </w:tc>
        <w:tc>
          <w:tcPr>
            <w:tcW w:w="864" w:type="pct"/>
            <w:noWrap/>
            <w:vAlign w:val="center"/>
          </w:tcPr>
          <w:p w14:paraId="449D10AF">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1.45</w:t>
            </w:r>
          </w:p>
        </w:tc>
      </w:tr>
      <w:tr w14:paraId="581856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08E62F52">
            <w:pPr>
              <w:adjustRightInd w:val="0"/>
              <w:snapToGrid w:val="0"/>
              <w:spacing w:before="20" w:after="20" w:line="240" w:lineRule="auto"/>
              <w:jc w:val="center"/>
              <w:rPr>
                <w:rFonts w:ascii="Times New Roman" w:hAnsi="Times New Roman"/>
                <w:color w:val="auto"/>
              </w:rPr>
            </w:pPr>
            <w:r>
              <w:rPr>
                <w:rFonts w:ascii="Times New Roman" w:hAnsi="Times New Roman"/>
                <w:color w:val="auto"/>
              </w:rPr>
              <w:t>Wanxian</w:t>
            </w:r>
          </w:p>
        </w:tc>
        <w:tc>
          <w:tcPr>
            <w:tcW w:w="468" w:type="pct"/>
            <w:noWrap/>
            <w:vAlign w:val="center"/>
          </w:tcPr>
          <w:p w14:paraId="01B2209A">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0.12</w:t>
            </w:r>
          </w:p>
        </w:tc>
        <w:tc>
          <w:tcPr>
            <w:tcW w:w="728" w:type="pct"/>
            <w:noWrap/>
            <w:vAlign w:val="center"/>
          </w:tcPr>
          <w:p w14:paraId="2999762F">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0.25</w:t>
            </w:r>
          </w:p>
        </w:tc>
        <w:tc>
          <w:tcPr>
            <w:tcW w:w="626" w:type="pct"/>
            <w:noWrap/>
            <w:vAlign w:val="center"/>
          </w:tcPr>
          <w:p w14:paraId="7F57B26E">
            <w:pPr>
              <w:adjustRightInd w:val="0"/>
              <w:snapToGrid w:val="0"/>
              <w:spacing w:before="20" w:after="20" w:line="240" w:lineRule="auto"/>
              <w:jc w:val="center"/>
              <w:rPr>
                <w:rFonts w:ascii="Times New Roman" w:hAnsi="Times New Roman"/>
                <w:color w:val="auto"/>
              </w:rPr>
            </w:pPr>
            <w:r>
              <w:rPr>
                <w:rFonts w:ascii="Times New Roman" w:hAnsi="Times New Roman"/>
                <w:color w:val="auto"/>
              </w:rPr>
              <w:t>1.38</w:t>
            </w:r>
          </w:p>
        </w:tc>
        <w:tc>
          <w:tcPr>
            <w:tcW w:w="573" w:type="pct"/>
            <w:noWrap/>
            <w:vAlign w:val="center"/>
          </w:tcPr>
          <w:p w14:paraId="62651022">
            <w:pPr>
              <w:adjustRightInd w:val="0"/>
              <w:snapToGrid w:val="0"/>
              <w:spacing w:before="20" w:after="20" w:line="240" w:lineRule="auto"/>
              <w:jc w:val="center"/>
              <w:rPr>
                <w:rFonts w:ascii="Times New Roman" w:hAnsi="Times New Roman"/>
                <w:color w:val="auto"/>
              </w:rPr>
            </w:pPr>
            <w:r>
              <w:rPr>
                <w:rFonts w:ascii="Times New Roman" w:hAnsi="Times New Roman"/>
                <w:color w:val="auto"/>
              </w:rPr>
              <w:t>-0.63</w:t>
            </w:r>
          </w:p>
        </w:tc>
        <w:tc>
          <w:tcPr>
            <w:tcW w:w="366" w:type="pct"/>
            <w:noWrap/>
            <w:vAlign w:val="center"/>
          </w:tcPr>
          <w:p w14:paraId="5A28D106">
            <w:pPr>
              <w:adjustRightInd w:val="0"/>
              <w:snapToGrid w:val="0"/>
              <w:spacing w:before="20" w:after="20" w:line="240" w:lineRule="auto"/>
              <w:jc w:val="center"/>
              <w:rPr>
                <w:rFonts w:ascii="Times New Roman" w:hAnsi="Times New Roman"/>
                <w:color w:val="auto"/>
              </w:rPr>
            </w:pPr>
            <w:r>
              <w:rPr>
                <w:rFonts w:ascii="Times New Roman" w:hAnsi="Times New Roman"/>
                <w:color w:val="auto"/>
              </w:rPr>
              <w:t>0.36</w:t>
            </w:r>
          </w:p>
        </w:tc>
        <w:tc>
          <w:tcPr>
            <w:tcW w:w="893" w:type="pct"/>
            <w:noWrap/>
            <w:vAlign w:val="center"/>
          </w:tcPr>
          <w:p w14:paraId="6AE7C9DD">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0.14</w:t>
            </w:r>
          </w:p>
        </w:tc>
        <w:tc>
          <w:tcPr>
            <w:tcW w:w="864" w:type="pct"/>
            <w:noWrap/>
            <w:vAlign w:val="center"/>
          </w:tcPr>
          <w:p w14:paraId="593818B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1.38</w:t>
            </w:r>
          </w:p>
        </w:tc>
      </w:tr>
      <w:tr w14:paraId="428B3BC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38C602A2">
            <w:pPr>
              <w:adjustRightInd w:val="0"/>
              <w:snapToGrid w:val="0"/>
              <w:spacing w:before="20" w:after="20" w:line="240" w:lineRule="auto"/>
              <w:jc w:val="center"/>
              <w:rPr>
                <w:rFonts w:ascii="Times New Roman" w:hAnsi="Times New Roman"/>
                <w:color w:val="auto"/>
              </w:rPr>
            </w:pPr>
            <w:r>
              <w:rPr>
                <w:rFonts w:ascii="Times New Roman" w:hAnsi="Times New Roman"/>
                <w:color w:val="auto"/>
              </w:rPr>
              <w:t>Yunyang</w:t>
            </w:r>
          </w:p>
        </w:tc>
        <w:tc>
          <w:tcPr>
            <w:tcW w:w="468" w:type="pct"/>
            <w:noWrap/>
            <w:vAlign w:val="center"/>
          </w:tcPr>
          <w:p w14:paraId="1F5FE1BC">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0.13</w:t>
            </w:r>
          </w:p>
        </w:tc>
        <w:tc>
          <w:tcPr>
            <w:tcW w:w="728" w:type="pct"/>
            <w:noWrap/>
            <w:vAlign w:val="center"/>
          </w:tcPr>
          <w:p w14:paraId="3C63BDD1">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0.22</w:t>
            </w:r>
          </w:p>
        </w:tc>
        <w:tc>
          <w:tcPr>
            <w:tcW w:w="626" w:type="pct"/>
            <w:noWrap/>
            <w:vAlign w:val="center"/>
          </w:tcPr>
          <w:p w14:paraId="5975D091">
            <w:pPr>
              <w:adjustRightInd w:val="0"/>
              <w:snapToGrid w:val="0"/>
              <w:spacing w:before="20" w:after="20" w:line="240" w:lineRule="auto"/>
              <w:jc w:val="center"/>
              <w:rPr>
                <w:rFonts w:ascii="Times New Roman" w:hAnsi="Times New Roman"/>
                <w:color w:val="auto"/>
              </w:rPr>
            </w:pPr>
            <w:r>
              <w:rPr>
                <w:rFonts w:ascii="Times New Roman" w:hAnsi="Times New Roman"/>
                <w:color w:val="auto"/>
              </w:rPr>
              <w:t>1.32</w:t>
            </w:r>
          </w:p>
        </w:tc>
        <w:tc>
          <w:tcPr>
            <w:tcW w:w="573" w:type="pct"/>
            <w:noWrap/>
            <w:vAlign w:val="center"/>
          </w:tcPr>
          <w:p w14:paraId="17CF3C1F">
            <w:pPr>
              <w:adjustRightInd w:val="0"/>
              <w:snapToGrid w:val="0"/>
              <w:spacing w:before="20" w:after="20" w:line="240" w:lineRule="auto"/>
              <w:jc w:val="center"/>
              <w:rPr>
                <w:rFonts w:ascii="Times New Roman" w:hAnsi="Times New Roman"/>
                <w:color w:val="auto"/>
              </w:rPr>
            </w:pPr>
            <w:r>
              <w:rPr>
                <w:rFonts w:ascii="Times New Roman" w:hAnsi="Times New Roman"/>
                <w:color w:val="auto"/>
              </w:rPr>
              <w:t>-0.42</w:t>
            </w:r>
          </w:p>
        </w:tc>
        <w:tc>
          <w:tcPr>
            <w:tcW w:w="366" w:type="pct"/>
            <w:noWrap/>
            <w:vAlign w:val="center"/>
          </w:tcPr>
          <w:p w14:paraId="044224E4">
            <w:pPr>
              <w:adjustRightInd w:val="0"/>
              <w:snapToGrid w:val="0"/>
              <w:spacing w:before="20" w:after="20" w:line="240" w:lineRule="auto"/>
              <w:jc w:val="center"/>
              <w:rPr>
                <w:rFonts w:ascii="Times New Roman" w:hAnsi="Times New Roman"/>
                <w:color w:val="auto"/>
              </w:rPr>
            </w:pPr>
            <w:r>
              <w:rPr>
                <w:rFonts w:ascii="Times New Roman" w:hAnsi="Times New Roman"/>
                <w:color w:val="auto"/>
              </w:rPr>
              <w:t>0.34</w:t>
            </w:r>
          </w:p>
        </w:tc>
        <w:tc>
          <w:tcPr>
            <w:tcW w:w="893" w:type="pct"/>
            <w:noWrap/>
            <w:vAlign w:val="center"/>
          </w:tcPr>
          <w:p w14:paraId="788DF81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0.00</w:t>
            </w:r>
          </w:p>
        </w:tc>
        <w:tc>
          <w:tcPr>
            <w:tcW w:w="864" w:type="pct"/>
            <w:noWrap/>
            <w:vAlign w:val="center"/>
          </w:tcPr>
          <w:p w14:paraId="7972C20C">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1.32</w:t>
            </w:r>
          </w:p>
        </w:tc>
      </w:tr>
      <w:tr w14:paraId="4EEF2A5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7280E6AE">
            <w:pPr>
              <w:adjustRightInd w:val="0"/>
              <w:snapToGrid w:val="0"/>
              <w:spacing w:before="20" w:after="20" w:line="240" w:lineRule="auto"/>
              <w:jc w:val="center"/>
              <w:rPr>
                <w:rFonts w:ascii="Times New Roman" w:hAnsi="Times New Roman"/>
                <w:color w:val="auto"/>
              </w:rPr>
            </w:pPr>
            <w:r>
              <w:rPr>
                <w:rFonts w:ascii="Times New Roman" w:hAnsi="Times New Roman"/>
                <w:color w:val="auto"/>
              </w:rPr>
              <w:t>Fengjie</w:t>
            </w:r>
          </w:p>
        </w:tc>
        <w:tc>
          <w:tcPr>
            <w:tcW w:w="468" w:type="pct"/>
            <w:noWrap/>
            <w:vAlign w:val="center"/>
          </w:tcPr>
          <w:p w14:paraId="561E938D">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0.12</w:t>
            </w:r>
          </w:p>
        </w:tc>
        <w:tc>
          <w:tcPr>
            <w:tcW w:w="728" w:type="pct"/>
            <w:noWrap/>
            <w:vAlign w:val="center"/>
          </w:tcPr>
          <w:p w14:paraId="6E0F691A">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0.17</w:t>
            </w:r>
          </w:p>
        </w:tc>
        <w:tc>
          <w:tcPr>
            <w:tcW w:w="626" w:type="pct"/>
            <w:noWrap/>
            <w:vAlign w:val="center"/>
          </w:tcPr>
          <w:p w14:paraId="60400553">
            <w:pPr>
              <w:adjustRightInd w:val="0"/>
              <w:snapToGrid w:val="0"/>
              <w:spacing w:before="20" w:after="20" w:line="240" w:lineRule="auto"/>
              <w:jc w:val="center"/>
              <w:rPr>
                <w:rFonts w:ascii="Times New Roman" w:hAnsi="Times New Roman"/>
                <w:color w:val="auto"/>
              </w:rPr>
            </w:pPr>
            <w:r>
              <w:rPr>
                <w:rFonts w:ascii="Times New Roman" w:hAnsi="Times New Roman"/>
                <w:color w:val="auto"/>
              </w:rPr>
              <w:t>1.03</w:t>
            </w:r>
          </w:p>
        </w:tc>
        <w:tc>
          <w:tcPr>
            <w:tcW w:w="573" w:type="pct"/>
            <w:noWrap/>
            <w:vAlign w:val="center"/>
          </w:tcPr>
          <w:p w14:paraId="13193D29">
            <w:pPr>
              <w:adjustRightInd w:val="0"/>
              <w:snapToGrid w:val="0"/>
              <w:spacing w:before="20" w:after="20" w:line="240" w:lineRule="auto"/>
              <w:jc w:val="center"/>
              <w:rPr>
                <w:rFonts w:ascii="Times New Roman" w:hAnsi="Times New Roman"/>
                <w:color w:val="auto"/>
              </w:rPr>
            </w:pPr>
            <w:r>
              <w:rPr>
                <w:rFonts w:ascii="Times New Roman" w:hAnsi="Times New Roman"/>
                <w:color w:val="auto"/>
              </w:rPr>
              <w:t>-0.32</w:t>
            </w:r>
          </w:p>
        </w:tc>
        <w:tc>
          <w:tcPr>
            <w:tcW w:w="366" w:type="pct"/>
            <w:noWrap/>
            <w:vAlign w:val="center"/>
          </w:tcPr>
          <w:p w14:paraId="4A4C18F9">
            <w:pPr>
              <w:adjustRightInd w:val="0"/>
              <w:snapToGrid w:val="0"/>
              <w:spacing w:before="20" w:after="20" w:line="240" w:lineRule="auto"/>
              <w:jc w:val="center"/>
              <w:rPr>
                <w:rFonts w:ascii="Times New Roman" w:hAnsi="Times New Roman"/>
                <w:color w:val="auto"/>
              </w:rPr>
            </w:pPr>
            <w:r>
              <w:rPr>
                <w:rFonts w:ascii="Times New Roman" w:hAnsi="Times New Roman"/>
                <w:color w:val="auto"/>
              </w:rPr>
              <w:t>0.26</w:t>
            </w:r>
          </w:p>
        </w:tc>
        <w:tc>
          <w:tcPr>
            <w:tcW w:w="893" w:type="pct"/>
            <w:noWrap/>
            <w:vAlign w:val="center"/>
          </w:tcPr>
          <w:p w14:paraId="6466E27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0.29</w:t>
            </w:r>
          </w:p>
        </w:tc>
        <w:tc>
          <w:tcPr>
            <w:tcW w:w="864" w:type="pct"/>
            <w:noWrap/>
            <w:vAlign w:val="center"/>
          </w:tcPr>
          <w:p w14:paraId="5A0A0F05">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1.03</w:t>
            </w:r>
          </w:p>
        </w:tc>
      </w:tr>
      <w:tr w14:paraId="11938F0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4837A77D">
            <w:pPr>
              <w:adjustRightInd w:val="0"/>
              <w:snapToGrid w:val="0"/>
              <w:spacing w:before="20" w:after="20" w:line="240" w:lineRule="auto"/>
              <w:jc w:val="center"/>
              <w:rPr>
                <w:rFonts w:ascii="Times New Roman" w:hAnsi="Times New Roman"/>
                <w:color w:val="auto"/>
              </w:rPr>
            </w:pPr>
            <w:r>
              <w:rPr>
                <w:rFonts w:ascii="Times New Roman" w:hAnsi="Times New Roman"/>
                <w:color w:val="auto"/>
              </w:rPr>
              <w:t>Wushan</w:t>
            </w:r>
          </w:p>
        </w:tc>
        <w:tc>
          <w:tcPr>
            <w:tcW w:w="468" w:type="pct"/>
            <w:noWrap/>
            <w:vAlign w:val="center"/>
          </w:tcPr>
          <w:p w14:paraId="1A21517C">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0.13</w:t>
            </w:r>
          </w:p>
        </w:tc>
        <w:tc>
          <w:tcPr>
            <w:tcW w:w="728" w:type="pct"/>
            <w:noWrap/>
            <w:vAlign w:val="center"/>
          </w:tcPr>
          <w:p w14:paraId="0B3FCB2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0.16</w:t>
            </w:r>
          </w:p>
        </w:tc>
        <w:tc>
          <w:tcPr>
            <w:tcW w:w="626" w:type="pct"/>
            <w:noWrap/>
            <w:vAlign w:val="center"/>
          </w:tcPr>
          <w:p w14:paraId="296261FA">
            <w:pPr>
              <w:adjustRightInd w:val="0"/>
              <w:snapToGrid w:val="0"/>
              <w:spacing w:before="20" w:after="20" w:line="240" w:lineRule="auto"/>
              <w:jc w:val="center"/>
              <w:rPr>
                <w:rFonts w:ascii="Times New Roman" w:hAnsi="Times New Roman"/>
                <w:color w:val="auto"/>
              </w:rPr>
            </w:pPr>
            <w:r>
              <w:rPr>
                <w:rFonts w:ascii="Times New Roman" w:hAnsi="Times New Roman"/>
                <w:color w:val="auto"/>
              </w:rPr>
              <w:t>0.82</w:t>
            </w:r>
          </w:p>
        </w:tc>
        <w:tc>
          <w:tcPr>
            <w:tcW w:w="573" w:type="pct"/>
            <w:noWrap/>
            <w:vAlign w:val="center"/>
          </w:tcPr>
          <w:p w14:paraId="3E558B7D">
            <w:pPr>
              <w:adjustRightInd w:val="0"/>
              <w:snapToGrid w:val="0"/>
              <w:spacing w:before="20" w:after="20" w:line="240" w:lineRule="auto"/>
              <w:jc w:val="center"/>
              <w:rPr>
                <w:rFonts w:ascii="Times New Roman" w:hAnsi="Times New Roman"/>
                <w:color w:val="auto"/>
              </w:rPr>
            </w:pPr>
            <w:r>
              <w:rPr>
                <w:rFonts w:ascii="Times New Roman" w:hAnsi="Times New Roman"/>
                <w:color w:val="auto"/>
              </w:rPr>
              <w:t>-0.29</w:t>
            </w:r>
          </w:p>
        </w:tc>
        <w:tc>
          <w:tcPr>
            <w:tcW w:w="366" w:type="pct"/>
            <w:noWrap/>
            <w:vAlign w:val="center"/>
          </w:tcPr>
          <w:p w14:paraId="72D501D0">
            <w:pPr>
              <w:adjustRightInd w:val="0"/>
              <w:snapToGrid w:val="0"/>
              <w:spacing w:before="20" w:after="20" w:line="240" w:lineRule="auto"/>
              <w:jc w:val="center"/>
              <w:rPr>
                <w:rFonts w:ascii="Times New Roman" w:hAnsi="Times New Roman"/>
                <w:color w:val="auto"/>
              </w:rPr>
            </w:pPr>
            <w:r>
              <w:rPr>
                <w:rFonts w:ascii="Times New Roman" w:hAnsi="Times New Roman"/>
                <w:color w:val="auto"/>
              </w:rPr>
              <w:t>0.23</w:t>
            </w:r>
          </w:p>
        </w:tc>
        <w:tc>
          <w:tcPr>
            <w:tcW w:w="893" w:type="pct"/>
            <w:noWrap/>
            <w:vAlign w:val="center"/>
          </w:tcPr>
          <w:p w14:paraId="70B38CBC">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0.20</w:t>
            </w:r>
          </w:p>
        </w:tc>
        <w:tc>
          <w:tcPr>
            <w:tcW w:w="864" w:type="pct"/>
            <w:noWrap/>
            <w:vAlign w:val="center"/>
          </w:tcPr>
          <w:p w14:paraId="332AF206">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0.82</w:t>
            </w:r>
          </w:p>
        </w:tc>
      </w:tr>
      <w:tr w14:paraId="720AC5F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64E3820B">
            <w:pPr>
              <w:adjustRightInd w:val="0"/>
              <w:snapToGrid w:val="0"/>
              <w:spacing w:before="20" w:after="20" w:line="240" w:lineRule="auto"/>
              <w:jc w:val="center"/>
              <w:rPr>
                <w:rFonts w:ascii="Times New Roman" w:hAnsi="Times New Roman"/>
                <w:color w:val="auto"/>
              </w:rPr>
            </w:pPr>
            <w:r>
              <w:rPr>
                <w:rFonts w:ascii="Times New Roman" w:hAnsi="Times New Roman"/>
                <w:color w:val="auto"/>
              </w:rPr>
              <w:t>Zigui</w:t>
            </w:r>
          </w:p>
        </w:tc>
        <w:tc>
          <w:tcPr>
            <w:tcW w:w="468" w:type="pct"/>
            <w:noWrap/>
            <w:vAlign w:val="center"/>
          </w:tcPr>
          <w:p w14:paraId="0700D32A">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0.00</w:t>
            </w:r>
          </w:p>
        </w:tc>
        <w:tc>
          <w:tcPr>
            <w:tcW w:w="728" w:type="pct"/>
            <w:noWrap/>
            <w:vAlign w:val="center"/>
          </w:tcPr>
          <w:p w14:paraId="45B1ACB4">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0.03</w:t>
            </w:r>
          </w:p>
        </w:tc>
        <w:tc>
          <w:tcPr>
            <w:tcW w:w="626" w:type="pct"/>
            <w:noWrap/>
            <w:vAlign w:val="center"/>
          </w:tcPr>
          <w:p w14:paraId="4C3B42F1">
            <w:pPr>
              <w:adjustRightInd w:val="0"/>
              <w:snapToGrid w:val="0"/>
              <w:spacing w:before="20" w:after="20" w:line="240" w:lineRule="auto"/>
              <w:jc w:val="center"/>
              <w:rPr>
                <w:rFonts w:ascii="Times New Roman" w:hAnsi="Times New Roman"/>
                <w:color w:val="auto"/>
              </w:rPr>
            </w:pPr>
            <w:r>
              <w:rPr>
                <w:rFonts w:ascii="Times New Roman" w:hAnsi="Times New Roman"/>
                <w:color w:val="auto"/>
              </w:rPr>
              <w:t>0.12</w:t>
            </w:r>
          </w:p>
        </w:tc>
        <w:tc>
          <w:tcPr>
            <w:tcW w:w="573" w:type="pct"/>
            <w:noWrap/>
            <w:vAlign w:val="center"/>
          </w:tcPr>
          <w:p w14:paraId="1883F151">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-0.07</w:t>
            </w:r>
          </w:p>
        </w:tc>
        <w:tc>
          <w:tcPr>
            <w:tcW w:w="366" w:type="pct"/>
            <w:noWrap/>
            <w:vAlign w:val="center"/>
          </w:tcPr>
          <w:p w14:paraId="18CD7B22">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0.03</w:t>
            </w:r>
          </w:p>
        </w:tc>
        <w:tc>
          <w:tcPr>
            <w:tcW w:w="893" w:type="pct"/>
            <w:noWrap/>
            <w:vAlign w:val="center"/>
          </w:tcPr>
          <w:p w14:paraId="1DF97E80">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0.05</w:t>
            </w:r>
          </w:p>
        </w:tc>
        <w:tc>
          <w:tcPr>
            <w:tcW w:w="864" w:type="pct"/>
            <w:noWrap/>
            <w:vAlign w:val="center"/>
          </w:tcPr>
          <w:p w14:paraId="0776C25B">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0.12</w:t>
            </w:r>
          </w:p>
        </w:tc>
      </w:tr>
      <w:tr w14:paraId="387B64D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483" w:type="pct"/>
            <w:noWrap/>
            <w:vAlign w:val="center"/>
          </w:tcPr>
          <w:p w14:paraId="22599BAE">
            <w:pPr>
              <w:adjustRightInd w:val="0"/>
              <w:snapToGrid w:val="0"/>
              <w:spacing w:before="20" w:after="20" w:line="240" w:lineRule="auto"/>
              <w:jc w:val="center"/>
              <w:rPr>
                <w:rFonts w:ascii="Times New Roman" w:hAnsi="Times New Roman"/>
                <w:color w:val="auto"/>
              </w:rPr>
            </w:pPr>
            <w:r>
              <w:rPr>
                <w:rFonts w:ascii="Times New Roman" w:hAnsi="Times New Roman"/>
                <w:color w:val="auto"/>
              </w:rPr>
              <w:t>Dam front</w:t>
            </w:r>
          </w:p>
        </w:tc>
        <w:tc>
          <w:tcPr>
            <w:tcW w:w="468" w:type="pct"/>
            <w:noWrap/>
            <w:vAlign w:val="center"/>
          </w:tcPr>
          <w:p w14:paraId="62B61AEE">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0.00</w:t>
            </w:r>
          </w:p>
        </w:tc>
        <w:tc>
          <w:tcPr>
            <w:tcW w:w="728" w:type="pct"/>
            <w:noWrap/>
            <w:vAlign w:val="center"/>
          </w:tcPr>
          <w:p w14:paraId="7F34098E">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0.00</w:t>
            </w:r>
          </w:p>
        </w:tc>
        <w:tc>
          <w:tcPr>
            <w:tcW w:w="626" w:type="pct"/>
            <w:noWrap/>
            <w:vAlign w:val="center"/>
          </w:tcPr>
          <w:p w14:paraId="0A5F7869">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0.00</w:t>
            </w:r>
          </w:p>
        </w:tc>
        <w:tc>
          <w:tcPr>
            <w:tcW w:w="573" w:type="pct"/>
            <w:noWrap/>
            <w:vAlign w:val="center"/>
          </w:tcPr>
          <w:p w14:paraId="0B9B164F">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0.00</w:t>
            </w:r>
          </w:p>
        </w:tc>
        <w:tc>
          <w:tcPr>
            <w:tcW w:w="366" w:type="pct"/>
            <w:noWrap/>
            <w:vAlign w:val="center"/>
          </w:tcPr>
          <w:p w14:paraId="57B39716">
            <w:pPr>
              <w:adjustRightInd w:val="0"/>
              <w:snapToGrid w:val="0"/>
              <w:spacing w:before="20" w:after="20" w:line="240" w:lineRule="auto"/>
              <w:jc w:val="center"/>
              <w:rPr>
                <w:rFonts w:ascii="Times New Roman" w:hAnsi="Times New Roman"/>
                <w:color w:val="auto"/>
              </w:rPr>
            </w:pPr>
            <w:r>
              <w:rPr>
                <w:rFonts w:ascii="Times New Roman" w:hAnsi="Times New Roman"/>
                <w:color w:val="auto"/>
              </w:rPr>
              <w:t>0.00</w:t>
            </w:r>
          </w:p>
        </w:tc>
        <w:tc>
          <w:tcPr>
            <w:tcW w:w="893" w:type="pct"/>
            <w:noWrap/>
            <w:vAlign w:val="center"/>
          </w:tcPr>
          <w:p w14:paraId="1FB7FE49">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0.00</w:t>
            </w:r>
          </w:p>
        </w:tc>
        <w:tc>
          <w:tcPr>
            <w:tcW w:w="864" w:type="pct"/>
            <w:noWrap/>
            <w:vAlign w:val="center"/>
          </w:tcPr>
          <w:p w14:paraId="70A30172">
            <w:pPr>
              <w:adjustRightInd w:val="0"/>
              <w:snapToGrid w:val="0"/>
              <w:spacing w:before="20" w:after="20" w:line="240" w:lineRule="auto"/>
              <w:ind w:firstLine="400" w:firstLineChars="200"/>
              <w:jc w:val="center"/>
              <w:rPr>
                <w:rFonts w:ascii="Times New Roman" w:hAnsi="Times New Roman"/>
                <w:color w:val="auto"/>
              </w:rPr>
            </w:pPr>
            <w:r>
              <w:rPr>
                <w:rFonts w:ascii="Times New Roman" w:hAnsi="Times New Roman"/>
                <w:color w:val="auto"/>
              </w:rPr>
              <w:t>0.00</w:t>
            </w:r>
          </w:p>
        </w:tc>
      </w:tr>
    </w:tbl>
    <w:p w14:paraId="70D800F0">
      <w:pPr>
        <w:rPr>
          <w:color w:val="auto"/>
        </w:rPr>
      </w:pPr>
    </w:p>
    <w:p w14:paraId="29A8F4EB">
      <w:pPr>
        <w:pStyle w:val="49"/>
        <w:spacing w:before="0" w:after="0" w:line="240" w:lineRule="auto"/>
        <w:ind w:left="0"/>
        <w:rPr>
          <w:rFonts w:ascii="Times New Roman" w:hAnsi="Times New Roman"/>
          <w:b/>
          <w:bCs/>
          <w:i w:val="0"/>
          <w:iCs/>
          <w:color w:val="auto"/>
          <w:sz w:val="21"/>
          <w:szCs w:val="21"/>
        </w:rPr>
      </w:pPr>
      <w:r>
        <w:rPr>
          <w:rFonts w:ascii="Times New Roman" w:hAnsi="Times New Roman"/>
          <w:b/>
          <w:bCs/>
          <w:i w:val="0"/>
          <w:iCs/>
          <w:color w:val="auto"/>
          <w:sz w:val="21"/>
          <w:szCs w:val="21"/>
        </w:rPr>
        <w:t>3.</w:t>
      </w:r>
      <w:r>
        <w:rPr>
          <w:rFonts w:hint="eastAsia" w:ascii="Times New Roman" w:hAnsi="Times New Roman" w:eastAsiaTheme="minorEastAsia"/>
          <w:b/>
          <w:bCs/>
          <w:i w:val="0"/>
          <w:iCs/>
          <w:color w:val="auto"/>
          <w:sz w:val="21"/>
          <w:szCs w:val="21"/>
          <w:lang w:eastAsia="zh-CN"/>
        </w:rPr>
        <w:t>2</w:t>
      </w:r>
      <w:r>
        <w:rPr>
          <w:rFonts w:ascii="Times New Roman" w:hAnsi="Times New Roman"/>
          <w:b/>
          <w:bCs/>
          <w:i w:val="0"/>
          <w:iCs/>
          <w:color w:val="auto"/>
          <w:sz w:val="21"/>
          <w:szCs w:val="21"/>
        </w:rPr>
        <w:t>. Effect of Initial Operating Water Level on Basin Flood Control Safety</w:t>
      </w:r>
    </w:p>
    <w:p w14:paraId="51C8AD44">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To evaluate how the initial operating water level influences TGR flood-control safety, flood-routing calculations were carried out for design floods with exceedance probabilities of 1%, 0.1%, and 0.01% under the prescribed release-control rules. The initial operating water level was varied from 145 to 165 m at intervals of 2 m, and the responses of the maximum regulated water level and excess flood volume were examined.</w:t>
      </w:r>
    </w:p>
    <w:p w14:paraId="1AABF800">
      <w:pPr>
        <w:pStyle w:val="34"/>
        <w:ind w:left="0" w:firstLine="400" w:firstLineChars="200"/>
        <w:rPr>
          <w:rFonts w:ascii="Times New Roman" w:hAnsi="Times New Roman" w:eastAsiaTheme="minorEastAsia"/>
          <w:color w:val="auto"/>
        </w:rPr>
      </w:pPr>
    </w:p>
    <w:p w14:paraId="5255D9DC">
      <w:pPr>
        <w:pStyle w:val="47"/>
        <w:ind w:left="0" w:firstLine="400" w:firstLineChars="200"/>
        <w:rPr>
          <w:rFonts w:ascii="Times New Roman" w:hAnsi="Times New Roman" w:eastAsiaTheme="minorEastAsia"/>
          <w:color w:val="auto"/>
          <w:lang w:eastAsia="zh-CN"/>
        </w:rPr>
      </w:pPr>
      <w:r>
        <w:rPr>
          <w:rFonts w:ascii="Times New Roman" w:hAnsi="Times New Roman"/>
          <w:color w:val="auto"/>
        </w:rPr>
        <w:t>3.</w:t>
      </w:r>
      <w:r>
        <w:rPr>
          <w:rFonts w:hint="eastAsia" w:ascii="Times New Roman" w:hAnsi="Times New Roman" w:eastAsiaTheme="minorEastAsia"/>
          <w:color w:val="auto"/>
          <w:lang w:eastAsia="zh-CN"/>
        </w:rPr>
        <w:t>2</w:t>
      </w:r>
      <w:r>
        <w:rPr>
          <w:rFonts w:ascii="Times New Roman" w:hAnsi="Times New Roman"/>
          <w:color w:val="auto"/>
        </w:rPr>
        <w:t xml:space="preserve">.1. </w:t>
      </w:r>
      <w:r>
        <w:rPr>
          <w:rFonts w:ascii="Times New Roman" w:hAnsi="Times New Roman"/>
          <w:i/>
          <w:iCs/>
          <w:color w:val="auto"/>
          <w:sz w:val="21"/>
          <w:szCs w:val="21"/>
        </w:rPr>
        <w:t>Maximum regulated water level</w:t>
      </w:r>
    </w:p>
    <w:p w14:paraId="4293C029">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 xml:space="preserve">Fig. </w:t>
      </w:r>
      <w:r>
        <w:rPr>
          <w:rFonts w:hint="eastAsia" w:ascii="Times New Roman" w:hAnsi="Times New Roman" w:eastAsiaTheme="minorEastAsia"/>
          <w:color w:val="auto"/>
          <w:sz w:val="21"/>
          <w:szCs w:val="24"/>
          <w:lang w:eastAsia="zh-CN"/>
        </w:rPr>
        <w:t>7</w:t>
      </w:r>
      <w:r>
        <w:rPr>
          <w:rFonts w:ascii="Times New Roman" w:hAnsi="Times New Roman" w:eastAsiaTheme="minorEastAsia"/>
          <w:color w:val="auto"/>
          <w:sz w:val="21"/>
          <w:szCs w:val="24"/>
        </w:rPr>
        <w:t xml:space="preserve"> shows the variation in the maximum regulated water level under different initial operating water levels. Overall, the response exhibits a clear segmented pattern. When the initial operating water level is not higher than 155 m, the maximum regulated water level changes only slightly in most typical years. Once the initial operating water level exceeds 155 m, the remaining flood-control storage is compressed, and the maximum regulated water level tends to rise more rapidly. This indicates that 155 m is an important transition level in the flood-regulation response of the TGR.</w:t>
      </w:r>
    </w:p>
    <w:p w14:paraId="393FCCAC">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The magnitude of this response differs among flood frequencies and hydrograph types. Under the 1% design flood, the response at the threshold is relatively clear because the reservoir still has a certain amount of regulation space. In some typical years, such as 1966 and 1998, the maximum regulated water level remains close to 171 m and is weakly affected by the initial operating water level, whereas in other years it increases after the initial level exceeds 155 m. Under the 0.1% design flood, the response becomes more dependent on flood composition, peak-volume combination, and hydrograph shape. Some flood processes show limited sensitivity, while others exhibit a more noticeable increase once the initial operating water level reaches the higher range.</w:t>
      </w:r>
    </w:p>
    <w:p w14:paraId="5F9BABEA">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Under the 0.01% design flood, the system operates close to the high-water-level constraint, and the maximum regulated water level is generally concentrated around 175 m. In this case, the increase in the maximum regulated water level caused by a higher initial operating water level is more limited than that under the 1% and 0.1% floods. This does not mean that the initial operating water level becomes unimportant. Instead, a higher initial level occupies flood-control storage in advance, reduces the remaining regulation space, and causes the reservoir to enter the high-water-level constrained operation stage earlier. Therefore, under extreme flood conditions, the influence of the initial operating water level is reflected not only in the increase in the maximum regulated water level, but also in the earlier activation and longer duration of high-discharge operation.</w:t>
      </w:r>
    </w:p>
    <w:p w14:paraId="721F0A25">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 xml:space="preserve">From a physical perspective, the maximum regulated water level is controlled by the balance among initial storage occupation, inflow volume, available flood-control storage, and release constraints. A lower initial operating water level provides more storage space to buffer the incoming flood volume. In contrast, when the initial level is above 155 m, part of the effective regulation storage has already been occupied before the flood arrives. The reservoir therefore has less capacity to attenuate the flood process, and the water level is more likely to approach the upper control range. This explains the segmented response shown in Fig. </w:t>
      </w:r>
      <w:r>
        <w:rPr>
          <w:rFonts w:hint="eastAsia" w:ascii="Times New Roman" w:hAnsi="Times New Roman" w:eastAsiaTheme="minorEastAsia"/>
          <w:color w:val="auto"/>
          <w:sz w:val="21"/>
          <w:szCs w:val="24"/>
          <w:lang w:eastAsia="zh-CN"/>
        </w:rPr>
        <w:t>7</w:t>
      </w:r>
      <w:r>
        <w:rPr>
          <w:rFonts w:ascii="Times New Roman" w:hAnsi="Times New Roman" w:eastAsiaTheme="minorEastAsia"/>
          <w:color w:val="auto"/>
          <w:sz w:val="21"/>
          <w:szCs w:val="24"/>
        </w:rPr>
        <w:t>.</w:t>
      </w:r>
    </w:p>
    <w:p w14:paraId="2BD51AFD">
      <w:pPr>
        <w:pStyle w:val="34"/>
        <w:ind w:left="0" w:firstLine="400" w:firstLineChars="200"/>
        <w:rPr>
          <w:rFonts w:ascii="Times New Roman" w:hAnsi="Times New Roman" w:eastAsiaTheme="minorEastAsia"/>
          <w:color w:val="auto"/>
        </w:rPr>
      </w:pPr>
    </w:p>
    <w:tbl>
      <w:tblPr>
        <w:tblStyle w:val="12"/>
        <w:tblW w:w="0" w:type="auto"/>
        <w:jc w:val="center"/>
        <w:tblLayout w:type="autofit"/>
        <w:tblCellMar>
          <w:top w:w="0" w:type="dxa"/>
          <w:left w:w="108" w:type="dxa"/>
          <w:bottom w:w="0" w:type="dxa"/>
          <w:right w:w="108" w:type="dxa"/>
        </w:tblCellMar>
      </w:tblPr>
      <w:tblGrid>
        <w:gridCol w:w="4261"/>
        <w:gridCol w:w="4261"/>
      </w:tblGrid>
      <w:tr w14:paraId="62C50555">
        <w:tblPrEx>
          <w:tblCellMar>
            <w:top w:w="0" w:type="dxa"/>
            <w:left w:w="108" w:type="dxa"/>
            <w:bottom w:w="0" w:type="dxa"/>
            <w:right w:w="108" w:type="dxa"/>
          </w:tblCellMar>
        </w:tblPrEx>
        <w:trPr>
          <w:jc w:val="center"/>
        </w:trPr>
        <w:tc>
          <w:tcPr>
            <w:tcW w:w="4607" w:type="dxa"/>
            <w:vAlign w:val="center"/>
          </w:tcPr>
          <w:p w14:paraId="297924D1">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2225040"/>
                  <wp:effectExtent l="0" t="0" r="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592000" cy="2225254"/>
                          </a:xfrm>
                          <a:prstGeom prst="rect">
                            <a:avLst/>
                          </a:prstGeom>
                          <a:noFill/>
                          <a:ln>
                            <a:noFill/>
                          </a:ln>
                        </pic:spPr>
                      </pic:pic>
                    </a:graphicData>
                  </a:graphic>
                </wp:inline>
              </w:drawing>
            </w:r>
          </w:p>
        </w:tc>
        <w:tc>
          <w:tcPr>
            <w:tcW w:w="4607" w:type="dxa"/>
          </w:tcPr>
          <w:p w14:paraId="278635A7">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222504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592000" cy="2225254"/>
                          </a:xfrm>
                          <a:prstGeom prst="rect">
                            <a:avLst/>
                          </a:prstGeom>
                          <a:noFill/>
                          <a:ln>
                            <a:noFill/>
                          </a:ln>
                        </pic:spPr>
                      </pic:pic>
                    </a:graphicData>
                  </a:graphic>
                </wp:inline>
              </w:drawing>
            </w:r>
          </w:p>
        </w:tc>
      </w:tr>
      <w:tr w14:paraId="2444A6E7">
        <w:tblPrEx>
          <w:tblCellMar>
            <w:top w:w="0" w:type="dxa"/>
            <w:left w:w="108" w:type="dxa"/>
            <w:bottom w:w="0" w:type="dxa"/>
            <w:right w:w="108" w:type="dxa"/>
          </w:tblCellMar>
        </w:tblPrEx>
        <w:trPr>
          <w:trHeight w:val="68" w:hRule="atLeast"/>
          <w:jc w:val="center"/>
        </w:trPr>
        <w:tc>
          <w:tcPr>
            <w:tcW w:w="4607" w:type="dxa"/>
            <w:vAlign w:val="center"/>
          </w:tcPr>
          <w:p w14:paraId="3B6A7A87">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hint="eastAsia" w:ascii="Times New Roman" w:hAnsi="Times New Roman" w:eastAsiaTheme="minorEastAsia"/>
                <w:color w:val="auto"/>
                <w:lang w:eastAsia="zh-CN"/>
              </w:rPr>
              <w:t xml:space="preserve"> </w:t>
            </w:r>
            <w:r>
              <w:rPr>
                <w:rFonts w:ascii="Times New Roman" w:hAnsi="Times New Roman" w:eastAsiaTheme="minorEastAsia"/>
                <w:color w:val="auto"/>
              </w:rPr>
              <w:t>1%</w:t>
            </w:r>
          </w:p>
        </w:tc>
        <w:tc>
          <w:tcPr>
            <w:tcW w:w="4607" w:type="dxa"/>
          </w:tcPr>
          <w:p w14:paraId="7EEB4F0D">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hint="eastAsia" w:ascii="Times New Roman" w:hAnsi="Times New Roman" w:eastAsiaTheme="minorEastAsia"/>
                <w:color w:val="auto"/>
                <w:lang w:eastAsia="zh-CN"/>
              </w:rPr>
              <w:t xml:space="preserve"> </w:t>
            </w:r>
            <w:r>
              <w:rPr>
                <w:rFonts w:ascii="Times New Roman" w:hAnsi="Times New Roman" w:eastAsiaTheme="minorEastAsia"/>
                <w:color w:val="auto"/>
              </w:rPr>
              <w:t>0.1%</w:t>
            </w:r>
          </w:p>
        </w:tc>
      </w:tr>
      <w:tr w14:paraId="04A12D8A">
        <w:tblPrEx>
          <w:tblCellMar>
            <w:top w:w="0" w:type="dxa"/>
            <w:left w:w="108" w:type="dxa"/>
            <w:bottom w:w="0" w:type="dxa"/>
            <w:right w:w="108" w:type="dxa"/>
          </w:tblCellMar>
        </w:tblPrEx>
        <w:trPr>
          <w:gridAfter w:val="1"/>
          <w:wAfter w:w="4607" w:type="dxa"/>
          <w:trHeight w:val="68" w:hRule="atLeast"/>
          <w:jc w:val="center"/>
        </w:trPr>
        <w:tc>
          <w:tcPr>
            <w:tcW w:w="4607" w:type="dxa"/>
            <w:vAlign w:val="center"/>
          </w:tcPr>
          <w:p w14:paraId="78C3A516">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2225040"/>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592000" cy="2225254"/>
                          </a:xfrm>
                          <a:prstGeom prst="rect">
                            <a:avLst/>
                          </a:prstGeom>
                          <a:noFill/>
                          <a:ln>
                            <a:noFill/>
                          </a:ln>
                        </pic:spPr>
                      </pic:pic>
                    </a:graphicData>
                  </a:graphic>
                </wp:inline>
              </w:drawing>
            </w:r>
          </w:p>
        </w:tc>
      </w:tr>
      <w:tr w14:paraId="7C0B0332">
        <w:tblPrEx>
          <w:tblCellMar>
            <w:top w:w="0" w:type="dxa"/>
            <w:left w:w="108" w:type="dxa"/>
            <w:bottom w:w="0" w:type="dxa"/>
            <w:right w:w="108" w:type="dxa"/>
          </w:tblCellMar>
        </w:tblPrEx>
        <w:trPr>
          <w:trHeight w:val="68" w:hRule="atLeast"/>
          <w:jc w:val="center"/>
        </w:trPr>
        <w:tc>
          <w:tcPr>
            <w:tcW w:w="4607" w:type="dxa"/>
            <w:vAlign w:val="center"/>
          </w:tcPr>
          <w:p w14:paraId="365CB3DE">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c</w:t>
            </w:r>
            <w:r>
              <w:rPr>
                <w:rFonts w:ascii="Times New Roman" w:hAnsi="Times New Roman"/>
                <w:color w:val="auto"/>
              </w:rPr>
              <w:t>)</w:t>
            </w:r>
            <w:r>
              <w:rPr>
                <w:rFonts w:hint="eastAsia" w:ascii="Times New Roman" w:hAnsi="Times New Roman" w:eastAsiaTheme="minorEastAsia"/>
                <w:color w:val="auto"/>
                <w:lang w:eastAsia="zh-CN"/>
              </w:rPr>
              <w:t xml:space="preserve"> </w:t>
            </w:r>
            <w:r>
              <w:rPr>
                <w:rFonts w:ascii="Times New Roman" w:hAnsi="Times New Roman" w:eastAsiaTheme="minorEastAsia"/>
                <w:color w:val="auto"/>
              </w:rPr>
              <w:t>0.01%</w:t>
            </w:r>
          </w:p>
        </w:tc>
        <w:tc>
          <w:tcPr>
            <w:tcW w:w="4607" w:type="dxa"/>
          </w:tcPr>
          <w:p w14:paraId="1D6D0FFC">
            <w:pPr>
              <w:pStyle w:val="43"/>
              <w:ind w:firstLine="400" w:firstLineChars="200"/>
              <w:rPr>
                <w:rFonts w:ascii="Times New Roman" w:hAnsi="Times New Roman" w:eastAsiaTheme="minorEastAsia"/>
                <w:color w:val="auto"/>
                <w:lang w:eastAsia="zh-CN"/>
              </w:rPr>
            </w:pPr>
          </w:p>
        </w:tc>
      </w:tr>
    </w:tbl>
    <w:p w14:paraId="4D868E66">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Fig. 7</w:t>
      </w:r>
      <w:r>
        <w:rPr>
          <w:rFonts w:ascii="Times New Roman" w:hAnsi="Times New Roman" w:eastAsiaTheme="minorEastAsia"/>
          <w:color w:val="auto"/>
        </w:rPr>
        <w:t xml:space="preserve"> Variation in </w:t>
      </w:r>
      <w:r>
        <w:rPr>
          <w:rFonts w:hint="eastAsia" w:ascii="Times New Roman" w:hAnsi="Times New Roman" w:eastAsiaTheme="minorEastAsia"/>
          <w:color w:val="auto"/>
          <w:lang w:eastAsia="zh-CN"/>
        </w:rPr>
        <w:t>maximum regulated water level</w:t>
      </w:r>
      <w:r>
        <w:rPr>
          <w:rFonts w:ascii="Times New Roman" w:hAnsi="Times New Roman" w:eastAsiaTheme="minorEastAsia"/>
          <w:color w:val="auto"/>
        </w:rPr>
        <w:t xml:space="preserve"> with initial operating water level for each typical year at different flood frequencies (under maximum prescribed release limit): (a) 1%; (b) 0.1%; (c) 0.01%.</w:t>
      </w:r>
    </w:p>
    <w:p w14:paraId="3E11B4D9">
      <w:pPr>
        <w:ind w:firstLine="480"/>
        <w:jc w:val="center"/>
        <w:rPr>
          <w:rFonts w:ascii="Times New Roman" w:hAnsi="Times New Roman" w:eastAsia="黑体"/>
          <w:color w:val="auto"/>
          <w:sz w:val="18"/>
          <w:szCs w:val="18"/>
        </w:rPr>
      </w:pPr>
      <w:r>
        <w:rPr>
          <w:rFonts w:hint="eastAsia" w:ascii="Times New Roman" w:hAnsi="Times New Roman" w:eastAsia="黑体"/>
          <w:color w:val="auto"/>
          <w:sz w:val="18"/>
          <w:szCs w:val="18"/>
        </w:rPr>
        <w:t>图7</w:t>
      </w:r>
      <w:r>
        <w:rPr>
          <w:rFonts w:ascii="Times New Roman" w:hAnsi="Times New Roman" w:eastAsia="黑体"/>
          <w:color w:val="auto"/>
          <w:sz w:val="18"/>
          <w:szCs w:val="18"/>
        </w:rPr>
        <w:t xml:space="preserve"> </w:t>
      </w:r>
      <w:r>
        <w:rPr>
          <w:rFonts w:hint="eastAsia" w:ascii="Times New Roman" w:hAnsi="Times New Roman" w:eastAsia="黑体"/>
          <w:color w:val="auto"/>
          <w:sz w:val="18"/>
          <w:szCs w:val="18"/>
        </w:rPr>
        <w:t>不同频率各典型年调洪高水位随起调水位变化过程（按最大泄流能力）(a) 1%频率；(b) 0.1%频率；(c) 0.01%频率</w:t>
      </w:r>
    </w:p>
    <w:p w14:paraId="4853C1D9">
      <w:pPr>
        <w:pStyle w:val="34"/>
        <w:ind w:left="0" w:firstLine="400" w:firstLineChars="200"/>
        <w:rPr>
          <w:rFonts w:ascii="Times New Roman" w:hAnsi="Times New Roman" w:eastAsiaTheme="minorEastAsia"/>
          <w:color w:val="auto"/>
        </w:rPr>
      </w:pPr>
    </w:p>
    <w:p w14:paraId="50407394">
      <w:pPr>
        <w:pStyle w:val="47"/>
        <w:ind w:left="0" w:firstLine="400" w:firstLineChars="200"/>
        <w:rPr>
          <w:rFonts w:ascii="Times New Roman" w:hAnsi="Times New Roman"/>
          <w:color w:val="auto"/>
        </w:rPr>
      </w:pPr>
      <w:r>
        <w:rPr>
          <w:rFonts w:ascii="Times New Roman" w:hAnsi="Times New Roman"/>
          <w:color w:val="auto"/>
        </w:rPr>
        <w:t>3.</w:t>
      </w:r>
      <w:r>
        <w:rPr>
          <w:rFonts w:hint="eastAsia" w:ascii="Times New Roman" w:hAnsi="Times New Roman" w:eastAsiaTheme="minorEastAsia"/>
          <w:color w:val="auto"/>
          <w:lang w:eastAsia="zh-CN"/>
        </w:rPr>
        <w:t>2</w:t>
      </w:r>
      <w:r>
        <w:rPr>
          <w:rFonts w:ascii="Times New Roman" w:hAnsi="Times New Roman"/>
          <w:color w:val="auto"/>
        </w:rPr>
        <w:t xml:space="preserve">.2. </w:t>
      </w:r>
      <w:r>
        <w:rPr>
          <w:rFonts w:ascii="Times New Roman" w:hAnsi="Times New Roman"/>
          <w:i/>
          <w:iCs/>
          <w:color w:val="auto"/>
          <w:sz w:val="21"/>
          <w:szCs w:val="21"/>
        </w:rPr>
        <w:t>Excess flood volume</w:t>
      </w:r>
    </w:p>
    <w:p w14:paraId="539ED51F">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 xml:space="preserve">Fig. </w:t>
      </w:r>
      <w:r>
        <w:rPr>
          <w:rFonts w:hint="eastAsia" w:ascii="Times New Roman" w:hAnsi="Times New Roman" w:eastAsiaTheme="minorEastAsia"/>
          <w:color w:val="auto"/>
          <w:sz w:val="21"/>
          <w:szCs w:val="24"/>
          <w:lang w:eastAsia="zh-CN"/>
        </w:rPr>
        <w:t>8</w:t>
      </w:r>
      <w:r>
        <w:rPr>
          <w:rFonts w:ascii="Times New Roman" w:hAnsi="Times New Roman" w:eastAsiaTheme="minorEastAsia"/>
          <w:color w:val="auto"/>
          <w:sz w:val="21"/>
          <w:szCs w:val="24"/>
        </w:rPr>
        <w:t xml:space="preserve"> shows the variation in excess flood volume with the initial operating water level. In this study, the excess flood volume is defined from the perspective of downstream safe-release control rather than reservoir peak-shaving volume</w:t>
      </w:r>
      <w:r>
        <w:rPr>
          <w:rFonts w:hint="eastAsia" w:ascii="Times New Roman" w:hAnsi="Times New Roman" w:eastAsiaTheme="minorEastAsia"/>
          <w:color w:val="auto"/>
          <w:sz w:val="21"/>
          <w:szCs w:val="24"/>
          <w:vertAlign w:val="superscript"/>
          <w:lang w:eastAsia="zh-CN"/>
        </w:rPr>
        <w:t>[44]</w:t>
      </w:r>
      <w:r>
        <w:rPr>
          <w:rFonts w:ascii="Times New Roman" w:hAnsi="Times New Roman" w:eastAsiaTheme="minorEastAsia"/>
          <w:color w:val="auto"/>
          <w:sz w:val="21"/>
          <w:szCs w:val="24"/>
        </w:rPr>
        <w:t>. It is calculated using the regulated outflow hydrograph. The conventional safe-release threshold is set to 55,000 m³/s, corresponding to the upper release limit in the 155</w:t>
      </w:r>
      <w:r>
        <w:rPr>
          <w:rFonts w:hint="eastAsia" w:ascii="Times New Roman" w:hAnsi="Times New Roman" w:eastAsiaTheme="minorEastAsia"/>
          <w:color w:val="auto"/>
          <w:sz w:val="21"/>
          <w:szCs w:val="24"/>
          <w:lang w:eastAsia="zh-CN"/>
        </w:rPr>
        <w:t>-</w:t>
      </w:r>
      <w:r>
        <w:rPr>
          <w:rFonts w:ascii="Times New Roman" w:hAnsi="Times New Roman" w:eastAsiaTheme="minorEastAsia"/>
          <w:color w:val="auto"/>
          <w:sz w:val="21"/>
          <w:szCs w:val="24"/>
        </w:rPr>
        <w:t>171 m operating range under the prescribed operation rules.</w:t>
      </w:r>
    </w:p>
    <w:p w14:paraId="0F62F6BB">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The excess flood volume generally shows a response consistent with the maximum regulated water level, but it provides additional information on downstream flood-conveyance pressure. When the initial operating water level is relatively low, the available storage can absorb more of the flood volume, and the cumulative volume exceeding 55,000 m³/s changes only slightly. After the initial operating water level exceeds 155 m, the reduced storage space makes the reservoir more likely to enter a high-discharge release stage, and the excess flood volume increases more rapidly in several typical years.</w:t>
      </w:r>
    </w:p>
    <w:p w14:paraId="62A0300F">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The relationship between maximum regulated water level and excess flood volume varies with flood magnitude. For the 1% and 0.1% design floods, increases in the initial operating water level may be reflected in both a higher regulated water level and a larger excess flood volume. For the 0.01% design flood, however, the maximum regulated water level is already constrained near 175 m in many cases. Under this condition, the effect of a higher initial operating water level is expressed more through prolonged high-discharge release and increased excess flood volume than through a further rise in the maximum regulated water level.</w:t>
      </w:r>
    </w:p>
    <w:p w14:paraId="36609E45">
      <w:pPr>
        <w:pStyle w:val="34"/>
        <w:ind w:left="0" w:firstLine="420" w:firstLineChars="200"/>
        <w:rPr>
          <w:rFonts w:ascii="Times New Roman" w:hAnsi="Times New Roman" w:eastAsiaTheme="minorEastAsia"/>
          <w:color w:val="auto"/>
          <w:sz w:val="21"/>
          <w:szCs w:val="24"/>
        </w:rPr>
      </w:pPr>
      <w:r>
        <w:rPr>
          <w:rFonts w:ascii="Times New Roman" w:hAnsi="Times New Roman" w:eastAsiaTheme="minorEastAsia"/>
          <w:color w:val="auto"/>
          <w:sz w:val="21"/>
          <w:szCs w:val="24"/>
        </w:rPr>
        <w:t>Therefore, the two indicators describe different aspects of flood-control pressure. The maximum regulated water level reflects the storage and water-level safety of the reservoir itself, whereas the excess flood volume reflects the additional downstream conveyance burden beyond the conventional safe-prescribed release limit. Their combined response indicates that raising the initial operating water level above 155 m compresses the effective flood-control storage and transfers part of the regulation pressure to both the reservoir high-water-level process and downstream high-discharge conveyance. This mechanism explains why the range above 155 m represents a key transition zone for flood-season operation of the TGR.</w:t>
      </w:r>
    </w:p>
    <w:p w14:paraId="33A48958">
      <w:pPr>
        <w:pStyle w:val="34"/>
        <w:ind w:left="0" w:firstLine="420" w:firstLineChars="200"/>
        <w:rPr>
          <w:rFonts w:ascii="Times New Roman" w:hAnsi="Times New Roman" w:eastAsiaTheme="minorEastAsia"/>
          <w:strike/>
          <w:color w:val="auto"/>
          <w:sz w:val="21"/>
          <w:szCs w:val="21"/>
        </w:rPr>
      </w:pPr>
    </w:p>
    <w:tbl>
      <w:tblPr>
        <w:tblStyle w:val="12"/>
        <w:tblW w:w="0" w:type="auto"/>
        <w:jc w:val="center"/>
        <w:tblLayout w:type="autofit"/>
        <w:tblCellMar>
          <w:top w:w="0" w:type="dxa"/>
          <w:left w:w="108" w:type="dxa"/>
          <w:bottom w:w="0" w:type="dxa"/>
          <w:right w:w="108" w:type="dxa"/>
        </w:tblCellMar>
      </w:tblPr>
      <w:tblGrid>
        <w:gridCol w:w="4178"/>
        <w:gridCol w:w="4178"/>
      </w:tblGrid>
      <w:tr w14:paraId="5A8CB96E">
        <w:tblPrEx>
          <w:tblCellMar>
            <w:top w:w="0" w:type="dxa"/>
            <w:left w:w="108" w:type="dxa"/>
            <w:bottom w:w="0" w:type="dxa"/>
            <w:right w:w="108" w:type="dxa"/>
          </w:tblCellMar>
        </w:tblPrEx>
        <w:trPr>
          <w:jc w:val="center"/>
        </w:trPr>
        <w:tc>
          <w:tcPr>
            <w:tcW w:w="4153" w:type="dxa"/>
            <w:vAlign w:val="center"/>
          </w:tcPr>
          <w:p w14:paraId="4A35CB5C">
            <w:pPr>
              <w:pStyle w:val="46"/>
              <w:spacing w:before="0"/>
              <w:jc w:val="both"/>
              <w:rPr>
                <w:rFonts w:ascii="Times New Roman" w:hAnsi="Times New Roman"/>
                <w:color w:val="auto"/>
              </w:rPr>
            </w:pPr>
            <w:r>
              <w:rPr>
                <w:rFonts w:ascii="Times New Roman" w:hAnsi="Times New Roman"/>
                <w:color w:val="auto"/>
              </w:rPr>
              <w:drawing>
                <wp:inline distT="0" distB="0" distL="0" distR="0">
                  <wp:extent cx="2515870" cy="2159635"/>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2515991" cy="2160000"/>
                          </a:xfrm>
                          <a:prstGeom prst="rect">
                            <a:avLst/>
                          </a:prstGeom>
                          <a:noFill/>
                          <a:ln>
                            <a:noFill/>
                          </a:ln>
                        </pic:spPr>
                      </pic:pic>
                    </a:graphicData>
                  </a:graphic>
                </wp:inline>
              </w:drawing>
            </w:r>
          </w:p>
        </w:tc>
        <w:tc>
          <w:tcPr>
            <w:tcW w:w="4153" w:type="dxa"/>
          </w:tcPr>
          <w:p w14:paraId="0CC772D3">
            <w:pPr>
              <w:pStyle w:val="46"/>
              <w:spacing w:before="0"/>
              <w:jc w:val="both"/>
              <w:rPr>
                <w:rFonts w:ascii="Times New Roman" w:hAnsi="Times New Roman"/>
                <w:color w:val="auto"/>
              </w:rPr>
            </w:pPr>
            <w:r>
              <w:rPr>
                <w:rFonts w:ascii="Times New Roman" w:hAnsi="Times New Roman"/>
                <w:color w:val="auto"/>
              </w:rPr>
              <w:drawing>
                <wp:inline distT="0" distB="0" distL="0" distR="0">
                  <wp:extent cx="2515870" cy="215963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2515991" cy="2160000"/>
                          </a:xfrm>
                          <a:prstGeom prst="rect">
                            <a:avLst/>
                          </a:prstGeom>
                          <a:noFill/>
                          <a:ln>
                            <a:noFill/>
                          </a:ln>
                        </pic:spPr>
                      </pic:pic>
                    </a:graphicData>
                  </a:graphic>
                </wp:inline>
              </w:drawing>
            </w:r>
          </w:p>
        </w:tc>
      </w:tr>
      <w:tr w14:paraId="325E68F2">
        <w:tblPrEx>
          <w:tblCellMar>
            <w:top w:w="0" w:type="dxa"/>
            <w:left w:w="108" w:type="dxa"/>
            <w:bottom w:w="0" w:type="dxa"/>
            <w:right w:w="108" w:type="dxa"/>
          </w:tblCellMar>
        </w:tblPrEx>
        <w:trPr>
          <w:trHeight w:val="68" w:hRule="atLeast"/>
          <w:jc w:val="center"/>
        </w:trPr>
        <w:tc>
          <w:tcPr>
            <w:tcW w:w="4153" w:type="dxa"/>
            <w:vAlign w:val="center"/>
          </w:tcPr>
          <w:p w14:paraId="63B29450">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hint="eastAsia" w:ascii="Times New Roman" w:hAnsi="Times New Roman" w:eastAsiaTheme="minorEastAsia"/>
                <w:color w:val="auto"/>
                <w:lang w:eastAsia="zh-CN"/>
              </w:rPr>
              <w:t xml:space="preserve"> </w:t>
            </w:r>
            <w:r>
              <w:rPr>
                <w:rFonts w:ascii="Times New Roman" w:hAnsi="Times New Roman" w:eastAsiaTheme="minorEastAsia"/>
                <w:color w:val="auto"/>
              </w:rPr>
              <w:t>1%</w:t>
            </w:r>
          </w:p>
        </w:tc>
        <w:tc>
          <w:tcPr>
            <w:tcW w:w="4153" w:type="dxa"/>
          </w:tcPr>
          <w:p w14:paraId="54F0BBB8">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hint="eastAsia" w:ascii="Times New Roman" w:hAnsi="Times New Roman" w:eastAsiaTheme="minorEastAsia"/>
                <w:color w:val="auto"/>
                <w:lang w:eastAsia="zh-CN"/>
              </w:rPr>
              <w:t xml:space="preserve"> </w:t>
            </w:r>
            <w:r>
              <w:rPr>
                <w:rFonts w:ascii="Times New Roman" w:hAnsi="Times New Roman" w:eastAsiaTheme="minorEastAsia"/>
                <w:color w:val="auto"/>
              </w:rPr>
              <w:t>0.1%</w:t>
            </w:r>
          </w:p>
        </w:tc>
      </w:tr>
      <w:tr w14:paraId="1CDAF2ED">
        <w:tblPrEx>
          <w:tblCellMar>
            <w:top w:w="0" w:type="dxa"/>
            <w:left w:w="108" w:type="dxa"/>
            <w:bottom w:w="0" w:type="dxa"/>
            <w:right w:w="108" w:type="dxa"/>
          </w:tblCellMar>
        </w:tblPrEx>
        <w:trPr>
          <w:gridAfter w:val="1"/>
          <w:wAfter w:w="4153" w:type="dxa"/>
          <w:trHeight w:val="68" w:hRule="atLeast"/>
          <w:jc w:val="center"/>
        </w:trPr>
        <w:tc>
          <w:tcPr>
            <w:tcW w:w="4153" w:type="dxa"/>
            <w:vAlign w:val="center"/>
          </w:tcPr>
          <w:p w14:paraId="6AECE35A">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15870" cy="2159635"/>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515991" cy="2160000"/>
                          </a:xfrm>
                          <a:prstGeom prst="rect">
                            <a:avLst/>
                          </a:prstGeom>
                          <a:noFill/>
                          <a:ln>
                            <a:noFill/>
                          </a:ln>
                        </pic:spPr>
                      </pic:pic>
                    </a:graphicData>
                  </a:graphic>
                </wp:inline>
              </w:drawing>
            </w:r>
          </w:p>
        </w:tc>
      </w:tr>
      <w:tr w14:paraId="18B19C76">
        <w:tblPrEx>
          <w:tblCellMar>
            <w:top w:w="0" w:type="dxa"/>
            <w:left w:w="108" w:type="dxa"/>
            <w:bottom w:w="0" w:type="dxa"/>
            <w:right w:w="108" w:type="dxa"/>
          </w:tblCellMar>
        </w:tblPrEx>
        <w:trPr>
          <w:trHeight w:val="68" w:hRule="atLeast"/>
          <w:jc w:val="center"/>
        </w:trPr>
        <w:tc>
          <w:tcPr>
            <w:tcW w:w="4153" w:type="dxa"/>
            <w:vAlign w:val="center"/>
          </w:tcPr>
          <w:p w14:paraId="16A631E9">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c</w:t>
            </w:r>
            <w:r>
              <w:rPr>
                <w:rFonts w:ascii="Times New Roman" w:hAnsi="Times New Roman"/>
                <w:color w:val="auto"/>
              </w:rPr>
              <w:t>)</w:t>
            </w:r>
            <w:r>
              <w:rPr>
                <w:rFonts w:hint="eastAsia" w:ascii="Times New Roman" w:hAnsi="Times New Roman" w:eastAsiaTheme="minorEastAsia"/>
                <w:color w:val="auto"/>
                <w:lang w:eastAsia="zh-CN"/>
              </w:rPr>
              <w:t xml:space="preserve"> </w:t>
            </w:r>
            <w:r>
              <w:rPr>
                <w:rFonts w:ascii="Times New Roman" w:hAnsi="Times New Roman" w:eastAsiaTheme="minorEastAsia"/>
                <w:color w:val="auto"/>
              </w:rPr>
              <w:t>0.01%</w:t>
            </w:r>
          </w:p>
        </w:tc>
        <w:tc>
          <w:tcPr>
            <w:tcW w:w="4153" w:type="dxa"/>
          </w:tcPr>
          <w:p w14:paraId="00D579E3">
            <w:pPr>
              <w:pStyle w:val="43"/>
              <w:ind w:firstLine="400" w:firstLineChars="200"/>
              <w:rPr>
                <w:rFonts w:ascii="Times New Roman" w:hAnsi="Times New Roman" w:eastAsiaTheme="minorEastAsia"/>
                <w:color w:val="auto"/>
                <w:lang w:eastAsia="zh-CN"/>
              </w:rPr>
            </w:pPr>
          </w:p>
        </w:tc>
      </w:tr>
    </w:tbl>
    <w:p w14:paraId="70CC07AC">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Fig. 8</w:t>
      </w:r>
      <w:r>
        <w:rPr>
          <w:rFonts w:ascii="Times New Roman" w:hAnsi="Times New Roman" w:eastAsiaTheme="minorEastAsia"/>
          <w:color w:val="auto"/>
        </w:rPr>
        <w:t xml:space="preserve"> Variation in excess flood volume with initial operating water level for each typical year at different flood frequencies (under maximum prescribed release limit): (a) 1%; (b) 0.1%; (c) 0.01%.</w:t>
      </w:r>
    </w:p>
    <w:p w14:paraId="5E4F4EA7">
      <w:pPr>
        <w:pStyle w:val="34"/>
        <w:ind w:left="0" w:firstLine="360" w:firstLineChars="200"/>
        <w:jc w:val="center"/>
        <w:rPr>
          <w:rFonts w:ascii="Times New Roman" w:hAnsi="Times New Roman" w:eastAsiaTheme="minorEastAsia"/>
          <w:color w:val="auto"/>
        </w:rPr>
      </w:pPr>
      <w:r>
        <w:rPr>
          <w:rFonts w:hint="eastAsia" w:ascii="Times New Roman" w:hAnsi="Times New Roman" w:eastAsia="黑体"/>
          <w:color w:val="auto"/>
          <w:sz w:val="18"/>
          <w:szCs w:val="18"/>
        </w:rPr>
        <w:t>图</w:t>
      </w:r>
      <w:r>
        <w:rPr>
          <w:rFonts w:hint="eastAsia" w:ascii="Times New Roman" w:hAnsi="Times New Roman" w:eastAsia="黑体"/>
          <w:color w:val="auto"/>
          <w:sz w:val="18"/>
          <w:szCs w:val="18"/>
          <w:lang w:eastAsia="zh-CN"/>
        </w:rPr>
        <w:t>8</w:t>
      </w:r>
      <w:r>
        <w:rPr>
          <w:rFonts w:ascii="Times New Roman" w:hAnsi="Times New Roman" w:eastAsia="黑体"/>
          <w:color w:val="auto"/>
          <w:sz w:val="18"/>
          <w:szCs w:val="18"/>
        </w:rPr>
        <w:t xml:space="preserve"> </w:t>
      </w:r>
      <w:r>
        <w:rPr>
          <w:rFonts w:hint="eastAsia" w:ascii="Times New Roman" w:hAnsi="Times New Roman" w:eastAsia="黑体"/>
          <w:color w:val="auto"/>
          <w:sz w:val="18"/>
          <w:szCs w:val="18"/>
        </w:rPr>
        <w:t>不同频率各典型年</w:t>
      </w:r>
      <w:r>
        <w:rPr>
          <w:rFonts w:hint="eastAsia" w:ascii="Times New Roman" w:hAnsi="Times New Roman" w:eastAsia="黑体"/>
          <w:color w:val="auto"/>
          <w:sz w:val="18"/>
          <w:szCs w:val="18"/>
          <w:lang w:eastAsia="zh-CN"/>
        </w:rPr>
        <w:t>超标准</w:t>
      </w:r>
      <w:r>
        <w:rPr>
          <w:rFonts w:hint="eastAsia" w:ascii="Times New Roman" w:hAnsi="Times New Roman" w:eastAsia="黑体"/>
          <w:color w:val="auto"/>
          <w:sz w:val="18"/>
          <w:szCs w:val="18"/>
        </w:rPr>
        <w:t>洪量随起调水位变化过程（按最大泄流能力）(a) 1%频率；(b) 0.1%频率；(c) 0.01%频率</w:t>
      </w:r>
    </w:p>
    <w:p w14:paraId="238933D0">
      <w:pPr>
        <w:pStyle w:val="34"/>
        <w:ind w:left="0" w:firstLine="400" w:firstLineChars="200"/>
        <w:rPr>
          <w:rFonts w:ascii="Times New Roman" w:hAnsi="Times New Roman" w:eastAsiaTheme="minorEastAsia"/>
          <w:b/>
          <w:bCs/>
          <w:color w:val="auto"/>
        </w:rPr>
      </w:pPr>
    </w:p>
    <w:p w14:paraId="61956F8D">
      <w:pPr>
        <w:pStyle w:val="49"/>
        <w:spacing w:before="0" w:after="0" w:line="240" w:lineRule="auto"/>
        <w:ind w:left="0"/>
        <w:rPr>
          <w:rFonts w:ascii="Times New Roman" w:hAnsi="Times New Roman" w:eastAsiaTheme="minorEastAsia"/>
          <w:b/>
          <w:bCs/>
          <w:i w:val="0"/>
          <w:iCs/>
          <w:color w:val="auto"/>
          <w:sz w:val="21"/>
          <w:szCs w:val="21"/>
          <w:lang w:eastAsia="zh-CN"/>
        </w:rPr>
      </w:pPr>
      <w:r>
        <w:rPr>
          <w:rFonts w:ascii="Times New Roman" w:hAnsi="Times New Roman"/>
          <w:b/>
          <w:bCs/>
          <w:i w:val="0"/>
          <w:iCs/>
          <w:color w:val="auto"/>
          <w:sz w:val="21"/>
          <w:szCs w:val="21"/>
        </w:rPr>
        <w:t>3.</w:t>
      </w:r>
      <w:r>
        <w:rPr>
          <w:rFonts w:hint="eastAsia" w:ascii="Times New Roman" w:hAnsi="Times New Roman" w:eastAsiaTheme="minorEastAsia"/>
          <w:b/>
          <w:bCs/>
          <w:i w:val="0"/>
          <w:iCs/>
          <w:color w:val="auto"/>
          <w:sz w:val="21"/>
          <w:szCs w:val="21"/>
          <w:lang w:eastAsia="zh-CN"/>
        </w:rPr>
        <w:t>3</w:t>
      </w:r>
      <w:r>
        <w:rPr>
          <w:rFonts w:ascii="Times New Roman" w:hAnsi="Times New Roman"/>
          <w:b/>
          <w:bCs/>
          <w:i w:val="0"/>
          <w:iCs/>
          <w:color w:val="auto"/>
          <w:sz w:val="21"/>
          <w:szCs w:val="21"/>
        </w:rPr>
        <w:t>. Effect of Release Discharge on the Flood-Regulation Response of the Three Gorges Project</w:t>
      </w:r>
    </w:p>
    <w:p w14:paraId="3CE56EE1">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For a fixed initial operating water level, release control determines how incoming flood volume is allocated between reservoir storage and downstream discharge. To evaluate the influence of prescribed release limit on the flood-regulation response of the Three Gorges Project, comparative calculations were carried out under different release-discharge upper limits for design floods with exceedance probabilities of 1%, 0.1%, and 0.01%. The maximum regulated water level and excess flood volume were used to characterize the responses of reservoir water-level safety and downstream flood-conveyance pressure.</w:t>
      </w:r>
    </w:p>
    <w:p w14:paraId="48DB94D7">
      <w:pPr>
        <w:pStyle w:val="34"/>
        <w:ind w:left="0" w:firstLine="420" w:firstLineChars="200"/>
        <w:rPr>
          <w:rFonts w:ascii="Times New Roman" w:hAnsi="Times New Roman" w:eastAsiaTheme="minorEastAsia"/>
          <w:color w:val="auto"/>
          <w:sz w:val="21"/>
          <w:szCs w:val="21"/>
        </w:rPr>
      </w:pPr>
    </w:p>
    <w:p w14:paraId="2AE9D38C">
      <w:pPr>
        <w:pStyle w:val="47"/>
        <w:ind w:left="0" w:firstLine="400" w:firstLineChars="200"/>
        <w:rPr>
          <w:rFonts w:ascii="Times New Roman" w:hAnsi="Times New Roman" w:eastAsiaTheme="minorEastAsia"/>
          <w:color w:val="auto"/>
          <w:lang w:eastAsia="zh-CN"/>
        </w:rPr>
      </w:pPr>
      <w:r>
        <w:rPr>
          <w:rFonts w:ascii="Times New Roman" w:hAnsi="Times New Roman"/>
          <w:color w:val="auto"/>
        </w:rPr>
        <w:t>3.</w:t>
      </w:r>
      <w:r>
        <w:rPr>
          <w:rFonts w:hint="eastAsia" w:ascii="Times New Roman" w:hAnsi="Times New Roman" w:eastAsiaTheme="minorEastAsia"/>
          <w:color w:val="auto"/>
          <w:lang w:eastAsia="zh-CN"/>
        </w:rPr>
        <w:t>3</w:t>
      </w:r>
      <w:r>
        <w:rPr>
          <w:rFonts w:ascii="Times New Roman" w:hAnsi="Times New Roman"/>
          <w:color w:val="auto"/>
        </w:rPr>
        <w:t xml:space="preserve">.1. </w:t>
      </w:r>
      <w:r>
        <w:rPr>
          <w:rFonts w:ascii="Times New Roman" w:hAnsi="Times New Roman"/>
          <w:i/>
          <w:iCs/>
          <w:color w:val="auto"/>
          <w:sz w:val="21"/>
          <w:szCs w:val="21"/>
        </w:rPr>
        <w:t>Maximum regulated water level</w:t>
      </w:r>
    </w:p>
    <w:p w14:paraId="67657AB9">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Fig. </w:t>
      </w:r>
      <w:r>
        <w:rPr>
          <w:rFonts w:hint="eastAsia" w:ascii="Times New Roman" w:hAnsi="Times New Roman" w:eastAsiaTheme="minorEastAsia"/>
          <w:color w:val="auto"/>
          <w:sz w:val="21"/>
          <w:szCs w:val="21"/>
          <w:lang w:eastAsia="zh-CN"/>
        </w:rPr>
        <w:t>9</w:t>
      </w:r>
      <w:r>
        <w:rPr>
          <w:rFonts w:ascii="Times New Roman" w:hAnsi="Times New Roman" w:eastAsiaTheme="minorEastAsia"/>
          <w:color w:val="auto"/>
          <w:sz w:val="21"/>
          <w:szCs w:val="21"/>
        </w:rPr>
        <w:t xml:space="preserve"> shows the variation in the maximum regulated water level with release discharge. Overall, increasing the prescribed release limit tends to reduce the maximum regulated water level, but the magnitude of this reduction varies among flood frequencies and hydrograph types. This difference reflects the combined influence of flood peak, flood volume, hydrograph duration, and the timing at which the reservoir enters different operating-water-level ranges.</w:t>
      </w:r>
    </w:p>
    <w:p w14:paraId="3B21F562">
      <w:pPr>
        <w:pStyle w:val="34"/>
        <w:ind w:left="0" w:firstLine="400" w:firstLineChars="200"/>
        <w:rPr>
          <w:rFonts w:ascii="Times New Roman" w:hAnsi="Times New Roman" w:eastAsiaTheme="minorEastAsia"/>
          <w:color w:val="auto"/>
        </w:rPr>
      </w:pPr>
    </w:p>
    <w:tbl>
      <w:tblPr>
        <w:tblStyle w:val="12"/>
        <w:tblW w:w="0" w:type="auto"/>
        <w:jc w:val="center"/>
        <w:tblLayout w:type="autofit"/>
        <w:tblCellMar>
          <w:top w:w="0" w:type="dxa"/>
          <w:left w:w="108" w:type="dxa"/>
          <w:bottom w:w="0" w:type="dxa"/>
          <w:right w:w="108" w:type="dxa"/>
        </w:tblCellMar>
      </w:tblPr>
      <w:tblGrid>
        <w:gridCol w:w="4261"/>
        <w:gridCol w:w="4261"/>
      </w:tblGrid>
      <w:tr w14:paraId="20A8610A">
        <w:tblPrEx>
          <w:tblCellMar>
            <w:top w:w="0" w:type="dxa"/>
            <w:left w:w="108" w:type="dxa"/>
            <w:bottom w:w="0" w:type="dxa"/>
            <w:right w:w="108" w:type="dxa"/>
          </w:tblCellMar>
        </w:tblPrEx>
        <w:trPr>
          <w:jc w:val="center"/>
        </w:trPr>
        <w:tc>
          <w:tcPr>
            <w:tcW w:w="4659" w:type="dxa"/>
            <w:vAlign w:val="center"/>
          </w:tcPr>
          <w:p w14:paraId="20CF72D7">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374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592000" cy="1984306"/>
                          </a:xfrm>
                          <a:prstGeom prst="rect">
                            <a:avLst/>
                          </a:prstGeom>
                          <a:noFill/>
                          <a:ln>
                            <a:noFill/>
                          </a:ln>
                        </pic:spPr>
                      </pic:pic>
                    </a:graphicData>
                  </a:graphic>
                </wp:inline>
              </w:drawing>
            </w:r>
          </w:p>
        </w:tc>
        <w:tc>
          <w:tcPr>
            <w:tcW w:w="4659" w:type="dxa"/>
          </w:tcPr>
          <w:p w14:paraId="51756B76">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374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592000" cy="1984306"/>
                          </a:xfrm>
                          <a:prstGeom prst="rect">
                            <a:avLst/>
                          </a:prstGeom>
                          <a:noFill/>
                          <a:ln>
                            <a:noFill/>
                          </a:ln>
                        </pic:spPr>
                      </pic:pic>
                    </a:graphicData>
                  </a:graphic>
                </wp:inline>
              </w:drawing>
            </w:r>
          </w:p>
        </w:tc>
      </w:tr>
      <w:tr w14:paraId="5B23C816">
        <w:tblPrEx>
          <w:tblCellMar>
            <w:top w:w="0" w:type="dxa"/>
            <w:left w:w="108" w:type="dxa"/>
            <w:bottom w:w="0" w:type="dxa"/>
            <w:right w:w="108" w:type="dxa"/>
          </w:tblCellMar>
        </w:tblPrEx>
        <w:trPr>
          <w:trHeight w:val="68" w:hRule="atLeast"/>
          <w:jc w:val="center"/>
        </w:trPr>
        <w:tc>
          <w:tcPr>
            <w:tcW w:w="4659" w:type="dxa"/>
            <w:vAlign w:val="center"/>
          </w:tcPr>
          <w:p w14:paraId="769F87EF">
            <w:pPr>
              <w:pStyle w:val="43"/>
              <w:ind w:firstLine="400" w:firstLineChars="200"/>
              <w:rPr>
                <w:rFonts w:ascii="Times New Roman" w:hAnsi="Times New Roman"/>
                <w:color w:val="auto"/>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ascii="Times New Roman" w:hAnsi="Times New Roman" w:eastAsiaTheme="minorEastAsia"/>
                <w:color w:val="auto"/>
              </w:rPr>
              <w:t xml:space="preserve"> 1%, Scenario 2</w:t>
            </w:r>
          </w:p>
        </w:tc>
        <w:tc>
          <w:tcPr>
            <w:tcW w:w="4659" w:type="dxa"/>
          </w:tcPr>
          <w:p w14:paraId="612ECAB7">
            <w:pPr>
              <w:pStyle w:val="43"/>
              <w:ind w:firstLine="400" w:firstLineChars="200"/>
              <w:rPr>
                <w:rFonts w:ascii="Times New Roman" w:hAnsi="Times New Roman"/>
                <w:color w:val="auto"/>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ascii="Times New Roman" w:hAnsi="Times New Roman" w:eastAsiaTheme="minorEastAsia"/>
                <w:color w:val="auto"/>
              </w:rPr>
              <w:t xml:space="preserve"> 1%, Scenario 1</w:t>
            </w:r>
          </w:p>
        </w:tc>
      </w:tr>
      <w:tr w14:paraId="035A6B2E">
        <w:tblPrEx>
          <w:tblCellMar>
            <w:top w:w="0" w:type="dxa"/>
            <w:left w:w="108" w:type="dxa"/>
            <w:bottom w:w="0" w:type="dxa"/>
            <w:right w:w="108" w:type="dxa"/>
          </w:tblCellMar>
        </w:tblPrEx>
        <w:trPr>
          <w:trHeight w:val="68" w:hRule="atLeast"/>
          <w:jc w:val="center"/>
        </w:trPr>
        <w:tc>
          <w:tcPr>
            <w:tcW w:w="4659" w:type="dxa"/>
            <w:vAlign w:val="center"/>
          </w:tcPr>
          <w:p w14:paraId="06BFECA1">
            <w:pPr>
              <w:pStyle w:val="43"/>
              <w:jc w:val="both"/>
              <w:rPr>
                <w:rFonts w:ascii="Times New Roman" w:hAnsi="Times New Roman"/>
                <w:color w:val="auto"/>
              </w:rPr>
            </w:pPr>
            <w:r>
              <w:rPr>
                <w:rFonts w:ascii="Times New Roman" w:hAnsi="Times New Roman"/>
                <w:color w:val="auto"/>
              </w:rPr>
              <w:drawing>
                <wp:inline distT="0" distB="0" distL="0" distR="0">
                  <wp:extent cx="2591435" cy="1983740"/>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592000" cy="1984306"/>
                          </a:xfrm>
                          <a:prstGeom prst="rect">
                            <a:avLst/>
                          </a:prstGeom>
                          <a:noFill/>
                          <a:ln>
                            <a:noFill/>
                          </a:ln>
                        </pic:spPr>
                      </pic:pic>
                    </a:graphicData>
                  </a:graphic>
                </wp:inline>
              </w:drawing>
            </w:r>
          </w:p>
        </w:tc>
        <w:tc>
          <w:tcPr>
            <w:tcW w:w="4659" w:type="dxa"/>
          </w:tcPr>
          <w:p w14:paraId="0BE5A0E7">
            <w:pPr>
              <w:pStyle w:val="43"/>
              <w:jc w:val="both"/>
              <w:rPr>
                <w:rFonts w:ascii="Times New Roman" w:hAnsi="Times New Roman"/>
                <w:color w:val="auto"/>
              </w:rPr>
            </w:pPr>
            <w:r>
              <w:rPr>
                <w:rFonts w:ascii="Times New Roman" w:hAnsi="Times New Roman"/>
                <w:color w:val="auto"/>
              </w:rPr>
              <w:drawing>
                <wp:inline distT="0" distB="0" distL="0" distR="0">
                  <wp:extent cx="2591435" cy="198374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2592000" cy="1984306"/>
                          </a:xfrm>
                          <a:prstGeom prst="rect">
                            <a:avLst/>
                          </a:prstGeom>
                          <a:noFill/>
                          <a:ln>
                            <a:noFill/>
                          </a:ln>
                        </pic:spPr>
                      </pic:pic>
                    </a:graphicData>
                  </a:graphic>
                </wp:inline>
              </w:drawing>
            </w:r>
          </w:p>
        </w:tc>
      </w:tr>
      <w:tr w14:paraId="300959BF">
        <w:tblPrEx>
          <w:tblCellMar>
            <w:top w:w="0" w:type="dxa"/>
            <w:left w:w="108" w:type="dxa"/>
            <w:bottom w:w="0" w:type="dxa"/>
            <w:right w:w="108" w:type="dxa"/>
          </w:tblCellMar>
        </w:tblPrEx>
        <w:trPr>
          <w:trHeight w:val="68" w:hRule="atLeast"/>
          <w:jc w:val="center"/>
        </w:trPr>
        <w:tc>
          <w:tcPr>
            <w:tcW w:w="4607" w:type="dxa"/>
            <w:vAlign w:val="center"/>
          </w:tcPr>
          <w:p w14:paraId="3ECE6C19">
            <w:pPr>
              <w:pStyle w:val="34"/>
              <w:ind w:left="0" w:firstLine="400" w:firstLineChars="200"/>
              <w:jc w:val="center"/>
              <w:rPr>
                <w:rFonts w:ascii="Times New Roman" w:hAnsi="Times New Roman" w:eastAsiaTheme="minorEastAsia"/>
                <w:color w:val="auto"/>
              </w:rPr>
            </w:pPr>
            <w:r>
              <w:rPr>
                <w:rFonts w:ascii="Times New Roman" w:hAnsi="Times New Roman" w:eastAsiaTheme="minorEastAsia"/>
                <w:color w:val="auto"/>
              </w:rPr>
              <w:t>(</w:t>
            </w:r>
            <w:r>
              <w:rPr>
                <w:rFonts w:ascii="Times New Roman" w:hAnsi="Times New Roman" w:eastAsiaTheme="minorEastAsia"/>
                <w:b/>
                <w:color w:val="auto"/>
                <w:lang w:eastAsia="zh-CN"/>
              </w:rPr>
              <w:t>c</w:t>
            </w:r>
            <w:r>
              <w:rPr>
                <w:rFonts w:ascii="Times New Roman" w:hAnsi="Times New Roman" w:eastAsiaTheme="minorEastAsia"/>
                <w:color w:val="auto"/>
              </w:rPr>
              <w:t>) 0.1%</w:t>
            </w:r>
          </w:p>
        </w:tc>
        <w:tc>
          <w:tcPr>
            <w:tcW w:w="4607" w:type="dxa"/>
            <w:vAlign w:val="center"/>
          </w:tcPr>
          <w:p w14:paraId="1015D141">
            <w:pPr>
              <w:pStyle w:val="34"/>
              <w:ind w:left="0" w:firstLine="400" w:firstLineChars="200"/>
              <w:jc w:val="center"/>
              <w:rPr>
                <w:rFonts w:ascii="Times New Roman" w:hAnsi="Times New Roman" w:eastAsiaTheme="minorEastAsia"/>
                <w:color w:val="auto"/>
              </w:rPr>
            </w:pPr>
            <w:r>
              <w:rPr>
                <w:rFonts w:ascii="Times New Roman" w:hAnsi="Times New Roman" w:eastAsiaTheme="minorEastAsia"/>
                <w:color w:val="auto"/>
              </w:rPr>
              <w:t>(</w:t>
            </w:r>
            <w:r>
              <w:rPr>
                <w:rFonts w:ascii="Times New Roman" w:hAnsi="Times New Roman" w:eastAsiaTheme="minorEastAsia"/>
                <w:b/>
                <w:color w:val="auto"/>
                <w:lang w:eastAsia="zh-CN"/>
              </w:rPr>
              <w:t>d</w:t>
            </w:r>
            <w:r>
              <w:rPr>
                <w:rFonts w:ascii="Times New Roman" w:hAnsi="Times New Roman" w:eastAsiaTheme="minorEastAsia"/>
                <w:color w:val="auto"/>
              </w:rPr>
              <w:t>) 0.01%</w:t>
            </w:r>
          </w:p>
        </w:tc>
      </w:tr>
    </w:tbl>
    <w:p w14:paraId="71C4B187">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Fig. 9</w:t>
      </w:r>
      <w:r>
        <w:rPr>
          <w:rFonts w:ascii="Times New Roman" w:hAnsi="Times New Roman" w:eastAsiaTheme="minorEastAsia"/>
          <w:color w:val="auto"/>
        </w:rPr>
        <w:t xml:space="preserve"> Variation in maximum regulated water level with release discharge for each typical year at different flood frequencies (initial operating water level = 155 m). (a) 1%, Scenario 2; (b) 1%, Scenario 1; (c) 0.1%; (d) 0.01%.</w:t>
      </w:r>
    </w:p>
    <w:p w14:paraId="21DB6A47">
      <w:pPr>
        <w:pStyle w:val="34"/>
        <w:ind w:left="0" w:firstLine="360" w:firstLineChars="200"/>
        <w:jc w:val="center"/>
        <w:rPr>
          <w:rFonts w:ascii="Times New Roman" w:hAnsi="Times New Roman" w:eastAsia="黑体"/>
          <w:color w:val="auto"/>
          <w:sz w:val="18"/>
          <w:szCs w:val="18"/>
        </w:rPr>
      </w:pPr>
      <w:r>
        <w:rPr>
          <w:rFonts w:hint="eastAsia" w:ascii="Times New Roman" w:hAnsi="Times New Roman" w:eastAsia="黑体"/>
          <w:color w:val="auto"/>
          <w:sz w:val="18"/>
          <w:szCs w:val="18"/>
        </w:rPr>
        <w:t>图</w:t>
      </w:r>
      <w:r>
        <w:rPr>
          <w:rFonts w:hint="eastAsia" w:ascii="Times New Roman" w:hAnsi="Times New Roman" w:eastAsia="黑体"/>
          <w:color w:val="auto"/>
          <w:sz w:val="18"/>
          <w:szCs w:val="18"/>
          <w:lang w:eastAsia="zh-CN"/>
        </w:rPr>
        <w:t>9</w:t>
      </w:r>
      <w:r>
        <w:rPr>
          <w:rFonts w:hint="eastAsia" w:ascii="Times New Roman" w:hAnsi="Times New Roman" w:eastAsia="黑体"/>
          <w:color w:val="auto"/>
          <w:sz w:val="18"/>
          <w:szCs w:val="18"/>
        </w:rPr>
        <w:t xml:space="preserve"> 不同频率各典型年调洪高水位随下泄流量变化过程（155 m起调）(a) 1%频率，工况2；(b) 1%频率，工况1；(c) 0.1%频率；(d) 0.01%频率</w:t>
      </w:r>
    </w:p>
    <w:p w14:paraId="7988DE5C">
      <w:pPr>
        <w:pStyle w:val="34"/>
        <w:ind w:left="0" w:firstLine="400" w:firstLineChars="200"/>
        <w:rPr>
          <w:rFonts w:ascii="Times New Roman" w:hAnsi="Times New Roman" w:eastAsiaTheme="minorEastAsia"/>
          <w:color w:val="auto"/>
        </w:rPr>
      </w:pPr>
    </w:p>
    <w:p w14:paraId="12C774F2">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Under the 1% design flood, the effect of prescribed release limit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is relatively clear for flood processes that remain within this operating range for a longer period. For example, in typical years such as 1981 and 1982, increasing the release upper limit from 50,000 to 55,000 m³/s effectively reduces storage accumulation before and around the flood peak, thereby lowering the maximum regulated water level. In contrast, for some flood processes whose maximum water level is controlled mainly by the 171 m boundary or by subsequent high-water-level operation, the response to changes in prescribed release limit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is weaker.</w:t>
      </w:r>
    </w:p>
    <w:p w14:paraId="08DE359E">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For the 0.1% and 0.01% design floods, the reservoir operates closer to the high-water-level constraint. In these cases, increasing prescribed release limit can still reduce the maximum regulated water level to some extent, but the effect becomes increasingly constrained by the upper water-level boundary and the prescribed release rules. Therefore, the water-level response is no longer controlled only by the prescribed release limit itself, but also by whether the flood process has already forced the reservoir into the high-water-level operating range.</w:t>
      </w:r>
    </w:p>
    <w:p w14:paraId="4FBBAFBC">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From a mechanism perspective, prescribed release limit affects the maximum regulated water level by changing the storage</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release allocation during flood routing. A higher release limit allows more flood volume to be discharged before the reservoir reaches the upper control range, reducing the rate of water-level rise. However, when the flood volume is large or the reservoir has already entered the high-water-level constrained stage, the ability of additional prescribed release limit to further reduce the maximum water level becomes limited.</w:t>
      </w:r>
    </w:p>
    <w:p w14:paraId="6E51A81E">
      <w:pPr>
        <w:pStyle w:val="34"/>
        <w:ind w:left="0" w:firstLine="400" w:firstLineChars="200"/>
        <w:rPr>
          <w:rFonts w:ascii="Times New Roman" w:hAnsi="Times New Roman" w:eastAsiaTheme="minorEastAsia"/>
          <w:b/>
          <w:bCs/>
          <w:color w:val="auto"/>
        </w:rPr>
      </w:pPr>
    </w:p>
    <w:p w14:paraId="4DAB8B85">
      <w:pPr>
        <w:pStyle w:val="47"/>
        <w:ind w:left="0" w:firstLine="400" w:firstLineChars="200"/>
        <w:rPr>
          <w:rFonts w:ascii="Times New Roman" w:hAnsi="Times New Roman"/>
          <w:color w:val="auto"/>
        </w:rPr>
      </w:pPr>
      <w:r>
        <w:rPr>
          <w:rFonts w:ascii="Times New Roman" w:hAnsi="Times New Roman"/>
          <w:color w:val="auto"/>
        </w:rPr>
        <w:t>3.</w:t>
      </w:r>
      <w:r>
        <w:rPr>
          <w:rFonts w:hint="eastAsia" w:ascii="Times New Roman" w:hAnsi="Times New Roman" w:eastAsiaTheme="minorEastAsia"/>
          <w:color w:val="auto"/>
          <w:lang w:eastAsia="zh-CN"/>
        </w:rPr>
        <w:t>3</w:t>
      </w:r>
      <w:r>
        <w:rPr>
          <w:rFonts w:ascii="Times New Roman" w:hAnsi="Times New Roman"/>
          <w:color w:val="auto"/>
        </w:rPr>
        <w:t xml:space="preserve">.2. </w:t>
      </w:r>
      <w:r>
        <w:rPr>
          <w:rFonts w:ascii="Times New Roman" w:hAnsi="Times New Roman"/>
          <w:i/>
          <w:iCs/>
          <w:color w:val="auto"/>
          <w:sz w:val="21"/>
          <w:szCs w:val="21"/>
        </w:rPr>
        <w:t>Excess flood volume</w:t>
      </w:r>
    </w:p>
    <w:p w14:paraId="49145A7D">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Fig. </w:t>
      </w:r>
      <w:r>
        <w:rPr>
          <w:rFonts w:hint="eastAsia" w:ascii="Times New Roman" w:hAnsi="Times New Roman" w:eastAsiaTheme="minorEastAsia"/>
          <w:color w:val="auto"/>
          <w:sz w:val="21"/>
          <w:szCs w:val="21"/>
          <w:lang w:eastAsia="zh-CN"/>
        </w:rPr>
        <w:t>10</w:t>
      </w:r>
      <w:r>
        <w:rPr>
          <w:rFonts w:ascii="Times New Roman" w:hAnsi="Times New Roman" w:eastAsiaTheme="minorEastAsia"/>
          <w:color w:val="auto"/>
          <w:sz w:val="21"/>
          <w:szCs w:val="21"/>
        </w:rPr>
        <w:t xml:space="preserve"> shows the response of excess flood volume to changes in release discharge. Compared with the maximum regulated water level, excess flood volume reflects the downstream flood-conveyance burden beyond the conventional safe-release threshold of 55,000 m³/s. Therefore, its response to prescribed release limit may differ from that of the maximum regulated water level.</w:t>
      </w:r>
    </w:p>
    <w:p w14:paraId="2CE039D7">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For the 1% design flood, increasing the prescribed release limit generally helps reduce or maintain the excess flood volume because more floodwater can be released within the conventional operating range before the reservoir enters a high-discharge stage. In this case, improved prescribed release limit can reduce both reservoir water-level pressure and the need for prolonged high-discharge operation.</w:t>
      </w:r>
    </w:p>
    <w:p w14:paraId="3117AB13">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For the 0.1% and 0.01% design floods, however, the response is more complex. Because the reservoir is already close to the high-water-level constraint, increasing the prescribed release limit may reduce the maximum regulated water level but also transfer part of the flood-regulation pressure to downstream high-discharge conveyance. As a result, the cumulative volume exceeding 55,000 m³/s may increase or remain nearly unchanged, even when the maximum regulated water level decreases. This does not contradict reservoir operation principles; rather, it reflects a trade-off between reservoir water-level safety and downstream conveyance pressure under extreme flood conditions.</w:t>
      </w:r>
    </w:p>
    <w:p w14:paraId="740AB3B1">
      <w:pPr>
        <w:pStyle w:val="34"/>
        <w:ind w:left="0" w:firstLine="400" w:firstLineChars="200"/>
        <w:rPr>
          <w:rFonts w:ascii="Times New Roman" w:hAnsi="Times New Roman" w:eastAsiaTheme="minorEastAsia"/>
          <w:color w:val="auto"/>
        </w:rPr>
      </w:pPr>
    </w:p>
    <w:tbl>
      <w:tblPr>
        <w:tblStyle w:val="12"/>
        <w:tblW w:w="0" w:type="auto"/>
        <w:jc w:val="center"/>
        <w:tblLayout w:type="autofit"/>
        <w:tblCellMar>
          <w:top w:w="0" w:type="dxa"/>
          <w:left w:w="108" w:type="dxa"/>
          <w:bottom w:w="0" w:type="dxa"/>
          <w:right w:w="108" w:type="dxa"/>
        </w:tblCellMar>
      </w:tblPr>
      <w:tblGrid>
        <w:gridCol w:w="4261"/>
        <w:gridCol w:w="4261"/>
      </w:tblGrid>
      <w:tr w14:paraId="2B5302E0">
        <w:tblPrEx>
          <w:tblCellMar>
            <w:top w:w="0" w:type="dxa"/>
            <w:left w:w="108" w:type="dxa"/>
            <w:bottom w:w="0" w:type="dxa"/>
            <w:right w:w="108" w:type="dxa"/>
          </w:tblCellMar>
        </w:tblPrEx>
        <w:trPr>
          <w:jc w:val="center"/>
        </w:trPr>
        <w:tc>
          <w:tcPr>
            <w:tcW w:w="4659" w:type="dxa"/>
            <w:vAlign w:val="center"/>
          </w:tcPr>
          <w:p w14:paraId="599C8B8E">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65A2A2F8">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6621BD3B">
        <w:tblPrEx>
          <w:tblCellMar>
            <w:top w:w="0" w:type="dxa"/>
            <w:left w:w="108" w:type="dxa"/>
            <w:bottom w:w="0" w:type="dxa"/>
            <w:right w:w="108" w:type="dxa"/>
          </w:tblCellMar>
        </w:tblPrEx>
        <w:trPr>
          <w:trHeight w:val="68" w:hRule="atLeast"/>
          <w:jc w:val="center"/>
        </w:trPr>
        <w:tc>
          <w:tcPr>
            <w:tcW w:w="4659" w:type="dxa"/>
            <w:vAlign w:val="center"/>
          </w:tcPr>
          <w:p w14:paraId="2AA20BBD">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hint="eastAsia" w:ascii="Times New Roman" w:hAnsi="Times New Roman" w:eastAsiaTheme="minorEastAsia"/>
                <w:color w:val="auto"/>
                <w:lang w:eastAsia="zh-CN"/>
              </w:rPr>
              <w:t xml:space="preserve"> 1954</w:t>
            </w:r>
          </w:p>
        </w:tc>
        <w:tc>
          <w:tcPr>
            <w:tcW w:w="4659" w:type="dxa"/>
          </w:tcPr>
          <w:p w14:paraId="25A92CA0">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hint="eastAsia" w:ascii="Times New Roman" w:hAnsi="Times New Roman" w:eastAsiaTheme="minorEastAsia"/>
                <w:color w:val="auto"/>
                <w:lang w:eastAsia="zh-CN"/>
              </w:rPr>
              <w:t xml:space="preserve"> 1966</w:t>
            </w:r>
          </w:p>
        </w:tc>
      </w:tr>
      <w:tr w14:paraId="035DF0BD">
        <w:tblPrEx>
          <w:tblCellMar>
            <w:top w:w="0" w:type="dxa"/>
            <w:left w:w="108" w:type="dxa"/>
            <w:bottom w:w="0" w:type="dxa"/>
            <w:right w:w="108" w:type="dxa"/>
          </w:tblCellMar>
        </w:tblPrEx>
        <w:trPr>
          <w:trHeight w:val="68" w:hRule="atLeast"/>
          <w:jc w:val="center"/>
        </w:trPr>
        <w:tc>
          <w:tcPr>
            <w:tcW w:w="4659" w:type="dxa"/>
            <w:vAlign w:val="center"/>
          </w:tcPr>
          <w:p w14:paraId="376568BC">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486FC824">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4B2860C1">
        <w:tblPrEx>
          <w:tblCellMar>
            <w:top w:w="0" w:type="dxa"/>
            <w:left w:w="108" w:type="dxa"/>
            <w:bottom w:w="0" w:type="dxa"/>
            <w:right w:w="108" w:type="dxa"/>
          </w:tblCellMar>
        </w:tblPrEx>
        <w:trPr>
          <w:trHeight w:val="68" w:hRule="atLeast"/>
          <w:jc w:val="center"/>
        </w:trPr>
        <w:tc>
          <w:tcPr>
            <w:tcW w:w="4659" w:type="dxa"/>
            <w:vAlign w:val="center"/>
          </w:tcPr>
          <w:p w14:paraId="45E9261A">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c</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1981</w:t>
            </w:r>
          </w:p>
        </w:tc>
        <w:tc>
          <w:tcPr>
            <w:tcW w:w="4659" w:type="dxa"/>
          </w:tcPr>
          <w:p w14:paraId="1C678A11">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d</w:t>
            </w:r>
            <w:r>
              <w:rPr>
                <w:rFonts w:ascii="Times New Roman" w:hAnsi="Times New Roman"/>
                <w:color w:val="auto"/>
              </w:rPr>
              <w:t>)</w:t>
            </w:r>
            <w:r>
              <w:rPr>
                <w:rFonts w:hint="eastAsia" w:ascii="Times New Roman" w:hAnsi="Times New Roman" w:eastAsiaTheme="minorEastAsia"/>
                <w:color w:val="auto"/>
                <w:lang w:eastAsia="zh-CN"/>
              </w:rPr>
              <w:t xml:space="preserve"> 1982</w:t>
            </w:r>
          </w:p>
        </w:tc>
      </w:tr>
      <w:tr w14:paraId="0352D96F">
        <w:tblPrEx>
          <w:tblCellMar>
            <w:top w:w="0" w:type="dxa"/>
            <w:left w:w="108" w:type="dxa"/>
            <w:bottom w:w="0" w:type="dxa"/>
            <w:right w:w="108" w:type="dxa"/>
          </w:tblCellMar>
        </w:tblPrEx>
        <w:trPr>
          <w:trHeight w:val="68" w:hRule="atLeast"/>
          <w:jc w:val="center"/>
        </w:trPr>
        <w:tc>
          <w:tcPr>
            <w:tcW w:w="4659" w:type="dxa"/>
            <w:vAlign w:val="center"/>
          </w:tcPr>
          <w:p w14:paraId="671496E4">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1BED8D4F">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5CE656B4">
        <w:tblPrEx>
          <w:tblCellMar>
            <w:top w:w="0" w:type="dxa"/>
            <w:left w:w="108" w:type="dxa"/>
            <w:bottom w:w="0" w:type="dxa"/>
            <w:right w:w="108" w:type="dxa"/>
          </w:tblCellMar>
        </w:tblPrEx>
        <w:trPr>
          <w:trHeight w:val="68" w:hRule="atLeast"/>
          <w:jc w:val="center"/>
        </w:trPr>
        <w:tc>
          <w:tcPr>
            <w:tcW w:w="4659" w:type="dxa"/>
            <w:vAlign w:val="center"/>
          </w:tcPr>
          <w:p w14:paraId="1C6C209D">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e</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1998</w:t>
            </w:r>
          </w:p>
        </w:tc>
        <w:tc>
          <w:tcPr>
            <w:tcW w:w="4659" w:type="dxa"/>
          </w:tcPr>
          <w:p w14:paraId="7B2BDDBB">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f</w:t>
            </w:r>
            <w:r>
              <w:rPr>
                <w:rFonts w:ascii="Times New Roman" w:hAnsi="Times New Roman"/>
                <w:color w:val="auto"/>
              </w:rPr>
              <w:t>)</w:t>
            </w:r>
            <w:r>
              <w:rPr>
                <w:rFonts w:hint="eastAsia" w:ascii="Times New Roman" w:hAnsi="Times New Roman" w:eastAsiaTheme="minorEastAsia"/>
                <w:color w:val="auto"/>
                <w:lang w:eastAsia="zh-CN"/>
              </w:rPr>
              <w:t xml:space="preserve"> 2012</w:t>
            </w:r>
          </w:p>
        </w:tc>
      </w:tr>
      <w:tr w14:paraId="7D86F78A">
        <w:tblPrEx>
          <w:tblCellMar>
            <w:top w:w="0" w:type="dxa"/>
            <w:left w:w="108" w:type="dxa"/>
            <w:bottom w:w="0" w:type="dxa"/>
            <w:right w:w="108" w:type="dxa"/>
          </w:tblCellMar>
        </w:tblPrEx>
        <w:trPr>
          <w:trHeight w:val="68" w:hRule="atLeast"/>
          <w:jc w:val="center"/>
        </w:trPr>
        <w:tc>
          <w:tcPr>
            <w:tcW w:w="4659" w:type="dxa"/>
            <w:vAlign w:val="center"/>
          </w:tcPr>
          <w:p w14:paraId="0B991654">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0AFA4D51">
            <w:pPr>
              <w:pStyle w:val="43"/>
              <w:ind w:firstLine="400" w:firstLineChars="200"/>
              <w:rPr>
                <w:rFonts w:ascii="Times New Roman" w:hAnsi="Times New Roman" w:eastAsiaTheme="minorEastAsia"/>
                <w:color w:val="auto"/>
                <w:lang w:eastAsia="zh-CN"/>
              </w:rPr>
            </w:pPr>
          </w:p>
          <w:p w14:paraId="3F74C3C3">
            <w:pPr>
              <w:pStyle w:val="43"/>
              <w:ind w:firstLine="400" w:firstLineChars="200"/>
              <w:jc w:val="both"/>
              <w:rPr>
                <w:rFonts w:ascii="Times New Roman" w:hAnsi="Times New Roman" w:eastAsiaTheme="minorEastAsia"/>
                <w:color w:val="auto"/>
                <w:lang w:eastAsia="zh-CN"/>
              </w:rPr>
            </w:pPr>
          </w:p>
        </w:tc>
      </w:tr>
      <w:tr w14:paraId="54F29161">
        <w:tblPrEx>
          <w:tblCellMar>
            <w:top w:w="0" w:type="dxa"/>
            <w:left w:w="108" w:type="dxa"/>
            <w:bottom w:w="0" w:type="dxa"/>
            <w:right w:w="108" w:type="dxa"/>
          </w:tblCellMar>
        </w:tblPrEx>
        <w:trPr>
          <w:trHeight w:val="68" w:hRule="atLeast"/>
          <w:jc w:val="center"/>
        </w:trPr>
        <w:tc>
          <w:tcPr>
            <w:tcW w:w="4659" w:type="dxa"/>
            <w:vAlign w:val="center"/>
          </w:tcPr>
          <w:p w14:paraId="3DD351F5">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g</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2020</w:t>
            </w:r>
          </w:p>
        </w:tc>
        <w:tc>
          <w:tcPr>
            <w:tcW w:w="4659" w:type="dxa"/>
          </w:tcPr>
          <w:p w14:paraId="6EFC0256">
            <w:pPr>
              <w:pStyle w:val="43"/>
              <w:ind w:firstLine="400" w:firstLineChars="200"/>
              <w:rPr>
                <w:rFonts w:ascii="Times New Roman" w:hAnsi="Times New Roman" w:eastAsiaTheme="minorEastAsia"/>
                <w:color w:val="auto"/>
                <w:lang w:eastAsia="zh-CN"/>
              </w:rPr>
            </w:pPr>
          </w:p>
        </w:tc>
      </w:tr>
    </w:tbl>
    <w:p w14:paraId="78C024E7">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Fig. 10</w:t>
      </w:r>
      <w:r>
        <w:rPr>
          <w:rFonts w:ascii="Times New Roman" w:hAnsi="Times New Roman" w:eastAsiaTheme="minorEastAsia"/>
          <w:color w:val="auto"/>
        </w:rPr>
        <w:t xml:space="preserve"> Variation in excess flood volume with initial operating water level for each typical year under different release-discharge conditions for 1% flood (Scenario 1): (a) 1954; (b) 1966; (c) 1981; (d) 1982; (e) 1998; (f) 2012; (g) 2020.</w:t>
      </w:r>
    </w:p>
    <w:p w14:paraId="7E54BCFB">
      <w:pPr>
        <w:ind w:firstLine="420"/>
        <w:jc w:val="center"/>
        <w:rPr>
          <w:rFonts w:ascii="Times New Roman" w:hAnsi="Times New Roman" w:eastAsia="黑体"/>
          <w:color w:val="auto"/>
          <w:sz w:val="18"/>
          <w:szCs w:val="18"/>
        </w:rPr>
      </w:pPr>
      <w:r>
        <w:rPr>
          <w:rFonts w:ascii="黑体" w:hAnsi="黑体" w:eastAsia="黑体"/>
          <w:color w:val="auto"/>
          <w:sz w:val="18"/>
          <w:szCs w:val="18"/>
        </w:rPr>
        <w:t>图</w:t>
      </w:r>
      <w:r>
        <w:rPr>
          <w:rFonts w:hint="eastAsia" w:ascii="Times New Roman" w:hAnsi="Times New Roman" w:eastAsia="黑体"/>
          <w:color w:val="auto"/>
          <w:sz w:val="18"/>
          <w:szCs w:val="18"/>
        </w:rPr>
        <w:t>10 1%</w:t>
      </w:r>
      <w:r>
        <w:rPr>
          <w:rFonts w:hint="eastAsia" w:ascii="黑体" w:hAnsi="黑体" w:eastAsia="黑体"/>
          <w:color w:val="auto"/>
          <w:sz w:val="18"/>
          <w:szCs w:val="18"/>
        </w:rPr>
        <w:t>频率不同下泄流量条件下各典型年超标准洪量随起调水位变化规律（工况</w:t>
      </w:r>
      <w:r>
        <w:rPr>
          <w:rFonts w:hint="eastAsia" w:ascii="Times New Roman" w:hAnsi="Times New Roman" w:eastAsia="黑体"/>
          <w:color w:val="auto"/>
          <w:sz w:val="18"/>
          <w:szCs w:val="18"/>
        </w:rPr>
        <w:t>1</w:t>
      </w:r>
      <w:r>
        <w:rPr>
          <w:rFonts w:hint="eastAsia" w:ascii="黑体" w:hAnsi="黑体" w:eastAsia="黑体"/>
          <w:color w:val="auto"/>
          <w:sz w:val="18"/>
          <w:szCs w:val="18"/>
        </w:rPr>
        <w:t xml:space="preserve">） </w:t>
      </w:r>
      <w:r>
        <w:rPr>
          <w:rFonts w:hint="eastAsia" w:ascii="Times New Roman" w:hAnsi="Times New Roman" w:eastAsia="黑体"/>
          <w:color w:val="auto"/>
          <w:sz w:val="18"/>
          <w:szCs w:val="18"/>
        </w:rPr>
        <w:t>(a) 1954</w:t>
      </w:r>
      <w:r>
        <w:rPr>
          <w:rFonts w:ascii="黑体" w:hAnsi="黑体" w:eastAsia="黑体"/>
          <w:color w:val="auto"/>
          <w:sz w:val="18"/>
          <w:szCs w:val="18"/>
        </w:rPr>
        <w:t>年；</w:t>
      </w:r>
      <w:r>
        <w:rPr>
          <w:rFonts w:hint="eastAsia" w:ascii="Times New Roman" w:hAnsi="Times New Roman" w:eastAsia="黑体"/>
          <w:color w:val="auto"/>
          <w:sz w:val="18"/>
          <w:szCs w:val="18"/>
        </w:rPr>
        <w:t>(b) 1966</w:t>
      </w:r>
      <w:r>
        <w:rPr>
          <w:rFonts w:hint="eastAsia" w:ascii="黑体" w:hAnsi="黑体" w:eastAsia="黑体"/>
          <w:color w:val="auto"/>
          <w:sz w:val="18"/>
          <w:szCs w:val="18"/>
        </w:rPr>
        <w:t>年；</w:t>
      </w:r>
      <w:r>
        <w:rPr>
          <w:rFonts w:hint="eastAsia" w:ascii="Times New Roman" w:hAnsi="Times New Roman" w:eastAsia="黑体"/>
          <w:color w:val="auto"/>
          <w:sz w:val="18"/>
          <w:szCs w:val="18"/>
        </w:rPr>
        <w:t>(c) 1981</w:t>
      </w:r>
      <w:r>
        <w:rPr>
          <w:rFonts w:ascii="黑体" w:hAnsi="黑体" w:eastAsia="黑体"/>
          <w:color w:val="auto"/>
          <w:sz w:val="18"/>
          <w:szCs w:val="18"/>
        </w:rPr>
        <w:t>年；</w:t>
      </w:r>
      <w:r>
        <w:rPr>
          <w:rFonts w:hint="eastAsia" w:ascii="Times New Roman" w:hAnsi="Times New Roman" w:eastAsia="黑体"/>
          <w:color w:val="auto"/>
          <w:sz w:val="18"/>
          <w:szCs w:val="18"/>
        </w:rPr>
        <w:t>(d) 1982</w:t>
      </w:r>
      <w:r>
        <w:rPr>
          <w:rFonts w:ascii="黑体" w:hAnsi="黑体" w:eastAsia="黑体"/>
          <w:color w:val="auto"/>
          <w:sz w:val="18"/>
          <w:szCs w:val="18"/>
        </w:rPr>
        <w:t>年；</w:t>
      </w:r>
      <w:r>
        <w:rPr>
          <w:rFonts w:hint="eastAsia" w:ascii="Times New Roman" w:hAnsi="Times New Roman" w:eastAsia="黑体"/>
          <w:color w:val="auto"/>
          <w:sz w:val="18"/>
          <w:szCs w:val="18"/>
        </w:rPr>
        <w:t>(e)1998</w:t>
      </w:r>
      <w:r>
        <w:rPr>
          <w:rFonts w:ascii="黑体" w:hAnsi="黑体" w:eastAsia="黑体"/>
          <w:color w:val="auto"/>
          <w:sz w:val="18"/>
          <w:szCs w:val="18"/>
        </w:rPr>
        <w:t>年；</w:t>
      </w:r>
      <w:r>
        <w:rPr>
          <w:rFonts w:hint="eastAsia" w:ascii="Times New Roman" w:hAnsi="Times New Roman" w:eastAsia="黑体"/>
          <w:color w:val="auto"/>
          <w:sz w:val="18"/>
          <w:szCs w:val="18"/>
        </w:rPr>
        <w:t>(f) 2012</w:t>
      </w:r>
      <w:r>
        <w:rPr>
          <w:rFonts w:ascii="黑体" w:hAnsi="黑体" w:eastAsia="黑体"/>
          <w:color w:val="auto"/>
          <w:sz w:val="18"/>
          <w:szCs w:val="18"/>
        </w:rPr>
        <w:t>年；</w:t>
      </w:r>
      <w:r>
        <w:rPr>
          <w:rFonts w:hint="eastAsia" w:ascii="Times New Roman" w:hAnsi="Times New Roman" w:eastAsia="黑体"/>
          <w:color w:val="auto"/>
          <w:sz w:val="18"/>
          <w:szCs w:val="18"/>
        </w:rPr>
        <w:t>(g) 2020</w:t>
      </w:r>
      <w:r>
        <w:rPr>
          <w:rFonts w:ascii="黑体" w:hAnsi="黑体" w:eastAsia="黑体"/>
          <w:color w:val="auto"/>
          <w:sz w:val="18"/>
          <w:szCs w:val="18"/>
        </w:rPr>
        <w:t>年</w:t>
      </w:r>
    </w:p>
    <w:p w14:paraId="13E2EE2F">
      <w:pPr>
        <w:pStyle w:val="34"/>
        <w:ind w:left="0" w:firstLine="400" w:firstLineChars="200"/>
        <w:rPr>
          <w:rFonts w:ascii="Times New Roman" w:hAnsi="Times New Roman" w:eastAsiaTheme="minorEastAsia"/>
          <w:color w:val="auto"/>
          <w:lang w:eastAsia="zh-CN"/>
        </w:rPr>
      </w:pPr>
    </w:p>
    <w:p w14:paraId="03D84470">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Overall, the release-discharge analysis indicates that the benefit of increasing prescribed release limit depends on flood magnitude and hydrograph characteristics. For relatively moderate floods, higher prescribed release limit mainly reduces reservoir storage pressure. For rarer floods, it may shift part of the flood-control burden from reservoir storage to downstream discharge. Therefore, flood-season operation of the TGR should consider both the maximum regulated water level and the excess flood volume, rather than evaluating release schemes using dam-front water level alone.</w:t>
      </w:r>
    </w:p>
    <w:p w14:paraId="1AC63B7B">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The contrast between figures </w:t>
      </w:r>
      <w:r>
        <w:rPr>
          <w:rFonts w:hint="eastAsia" w:ascii="Times New Roman" w:hAnsi="Times New Roman" w:eastAsiaTheme="minorEastAsia"/>
          <w:color w:val="auto"/>
          <w:sz w:val="21"/>
          <w:szCs w:val="21"/>
          <w:lang w:eastAsia="zh-CN"/>
        </w:rPr>
        <w:t>10</w:t>
      </w:r>
      <w:r>
        <w:rPr>
          <w:rFonts w:ascii="Times New Roman" w:hAnsi="Times New Roman" w:eastAsiaTheme="minorEastAsia"/>
          <w:color w:val="auto"/>
          <w:sz w:val="21"/>
          <w:szCs w:val="21"/>
        </w:rPr>
        <w:t xml:space="preserve"> and 1</w:t>
      </w:r>
      <w:r>
        <w:rPr>
          <w:rFonts w:hint="eastAsia" w:ascii="Times New Roman" w:hAnsi="Times New Roman" w:eastAsiaTheme="minorEastAsia"/>
          <w:color w:val="auto"/>
          <w:sz w:val="21"/>
          <w:szCs w:val="21"/>
          <w:lang w:eastAsia="zh-CN"/>
        </w:rPr>
        <w:t>1</w:t>
      </w:r>
      <w:r>
        <w:rPr>
          <w:rFonts w:ascii="Times New Roman" w:hAnsi="Times New Roman" w:eastAsiaTheme="minorEastAsia"/>
          <w:color w:val="auto"/>
          <w:sz w:val="21"/>
          <w:szCs w:val="21"/>
        </w:rPr>
        <w:t xml:space="preserve"> arises because excess flood volume is defined relative to the cumulative volume associated with discharge above 55,000 m³/s. In Scenario 1 (</w:t>
      </w:r>
      <w:r>
        <w:rPr>
          <w:rFonts w:hint="eastAsia" w:ascii="Times New Roman" w:hAnsi="Times New Roman" w:eastAsiaTheme="minorEastAsia"/>
          <w:color w:val="auto"/>
          <w:sz w:val="21"/>
          <w:szCs w:val="21"/>
          <w:lang w:eastAsia="zh-CN"/>
        </w:rPr>
        <w:t>Fig. 10</w:t>
      </w:r>
      <w:r>
        <w:rPr>
          <w:rFonts w:ascii="Times New Roman" w:hAnsi="Times New Roman" w:eastAsiaTheme="minorEastAsia"/>
          <w:color w:val="auto"/>
          <w:sz w:val="21"/>
          <w:szCs w:val="21"/>
        </w:rPr>
        <w:t>), the variable is the upper release limit in the 171</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175 m range (73000-78000 m³/s). For most 1% flood processes, however, the reservoir does not remain in this range long enough for the duration or magnitude of discharge above 55,000 m³/s to change substantially. Excess flood volume is therefore controlled mainly by the initial operating water level and by storage–release conditions in the 155-171 m range, so its sensitivity to changes in the high-water-level release limit is weak.</w:t>
      </w:r>
    </w:p>
    <w:p w14:paraId="41E49967">
      <w:pPr>
        <w:pStyle w:val="34"/>
        <w:ind w:left="0" w:firstLine="400" w:firstLineChars="200"/>
        <w:rPr>
          <w:rFonts w:ascii="Times New Roman" w:hAnsi="Times New Roman" w:eastAsiaTheme="minorEastAsia"/>
          <w:color w:val="auto"/>
          <w:lang w:eastAsia="zh-CN"/>
        </w:rPr>
      </w:pPr>
    </w:p>
    <w:tbl>
      <w:tblPr>
        <w:tblStyle w:val="12"/>
        <w:tblW w:w="0" w:type="auto"/>
        <w:jc w:val="center"/>
        <w:tblLayout w:type="autofit"/>
        <w:tblCellMar>
          <w:top w:w="0" w:type="dxa"/>
          <w:left w:w="108" w:type="dxa"/>
          <w:bottom w:w="0" w:type="dxa"/>
          <w:right w:w="108" w:type="dxa"/>
        </w:tblCellMar>
      </w:tblPr>
      <w:tblGrid>
        <w:gridCol w:w="4261"/>
        <w:gridCol w:w="4261"/>
      </w:tblGrid>
      <w:tr w14:paraId="2CA18FC8">
        <w:tblPrEx>
          <w:tblCellMar>
            <w:top w:w="0" w:type="dxa"/>
            <w:left w:w="108" w:type="dxa"/>
            <w:bottom w:w="0" w:type="dxa"/>
            <w:right w:w="108" w:type="dxa"/>
          </w:tblCellMar>
        </w:tblPrEx>
        <w:trPr>
          <w:jc w:val="center"/>
        </w:trPr>
        <w:tc>
          <w:tcPr>
            <w:tcW w:w="4659" w:type="dxa"/>
            <w:vAlign w:val="center"/>
          </w:tcPr>
          <w:p w14:paraId="79DDD556">
            <w:pPr>
              <w:pStyle w:val="46"/>
              <w:spacing w:before="0"/>
              <w:jc w:val="both"/>
              <w:rPr>
                <w:rFonts w:ascii="Times New Roman" w:hAnsi="Times New Roman"/>
                <w:color w:val="auto"/>
              </w:rPr>
            </w:pPr>
            <w:r>
              <w:rPr>
                <w:rFonts w:ascii="Times New Roman" w:hAnsi="Times New Roman" w:eastAsiaTheme="minorEastAsia"/>
                <w:color w:val="auto"/>
                <w:lang w:eastAsia="zh-CN"/>
              </w:rPr>
              <w:drawing>
                <wp:inline distT="0" distB="0" distL="0" distR="0">
                  <wp:extent cx="2591435" cy="198183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4E4E4B0A">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08" name="图片 158075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08" name="图片 158075500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4D9A6671">
        <w:tblPrEx>
          <w:tblCellMar>
            <w:top w:w="0" w:type="dxa"/>
            <w:left w:w="108" w:type="dxa"/>
            <w:bottom w:w="0" w:type="dxa"/>
            <w:right w:w="108" w:type="dxa"/>
          </w:tblCellMar>
        </w:tblPrEx>
        <w:trPr>
          <w:trHeight w:val="68" w:hRule="atLeast"/>
          <w:jc w:val="center"/>
        </w:trPr>
        <w:tc>
          <w:tcPr>
            <w:tcW w:w="4659" w:type="dxa"/>
            <w:vAlign w:val="center"/>
          </w:tcPr>
          <w:p w14:paraId="4D15BAA1">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hint="eastAsia" w:ascii="Times New Roman" w:hAnsi="Times New Roman" w:eastAsiaTheme="minorEastAsia"/>
                <w:color w:val="auto"/>
                <w:lang w:eastAsia="zh-CN"/>
              </w:rPr>
              <w:t xml:space="preserve"> 1954</w:t>
            </w:r>
          </w:p>
        </w:tc>
        <w:tc>
          <w:tcPr>
            <w:tcW w:w="4659" w:type="dxa"/>
          </w:tcPr>
          <w:p w14:paraId="55A59D8F">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hint="eastAsia" w:ascii="Times New Roman" w:hAnsi="Times New Roman" w:eastAsiaTheme="minorEastAsia"/>
                <w:color w:val="auto"/>
                <w:lang w:eastAsia="zh-CN"/>
              </w:rPr>
              <w:t xml:space="preserve"> 1966</w:t>
            </w:r>
          </w:p>
        </w:tc>
      </w:tr>
      <w:tr w14:paraId="30F32A25">
        <w:tblPrEx>
          <w:tblCellMar>
            <w:top w:w="0" w:type="dxa"/>
            <w:left w:w="108" w:type="dxa"/>
            <w:bottom w:w="0" w:type="dxa"/>
            <w:right w:w="108" w:type="dxa"/>
          </w:tblCellMar>
        </w:tblPrEx>
        <w:trPr>
          <w:trHeight w:val="68" w:hRule="atLeast"/>
          <w:jc w:val="center"/>
        </w:trPr>
        <w:tc>
          <w:tcPr>
            <w:tcW w:w="4659" w:type="dxa"/>
            <w:vAlign w:val="center"/>
          </w:tcPr>
          <w:p w14:paraId="3758E1AE">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09" name="图片 158075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09" name="图片 158075500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67D6A7E0">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10" name="图片 1580755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10" name="图片 15807550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04E7F8B0">
        <w:tblPrEx>
          <w:tblCellMar>
            <w:top w:w="0" w:type="dxa"/>
            <w:left w:w="108" w:type="dxa"/>
            <w:bottom w:w="0" w:type="dxa"/>
            <w:right w:w="108" w:type="dxa"/>
          </w:tblCellMar>
        </w:tblPrEx>
        <w:trPr>
          <w:trHeight w:val="68" w:hRule="atLeast"/>
          <w:jc w:val="center"/>
        </w:trPr>
        <w:tc>
          <w:tcPr>
            <w:tcW w:w="4659" w:type="dxa"/>
            <w:vAlign w:val="center"/>
          </w:tcPr>
          <w:p w14:paraId="7BA4AB40">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c</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1981</w:t>
            </w:r>
          </w:p>
        </w:tc>
        <w:tc>
          <w:tcPr>
            <w:tcW w:w="4659" w:type="dxa"/>
          </w:tcPr>
          <w:p w14:paraId="774A9FF9">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d</w:t>
            </w:r>
            <w:r>
              <w:rPr>
                <w:rFonts w:ascii="Times New Roman" w:hAnsi="Times New Roman"/>
                <w:color w:val="auto"/>
              </w:rPr>
              <w:t>)</w:t>
            </w:r>
            <w:r>
              <w:rPr>
                <w:rFonts w:hint="eastAsia" w:ascii="Times New Roman" w:hAnsi="Times New Roman" w:eastAsiaTheme="minorEastAsia"/>
                <w:color w:val="auto"/>
                <w:lang w:eastAsia="zh-CN"/>
              </w:rPr>
              <w:t xml:space="preserve"> 1982</w:t>
            </w:r>
          </w:p>
        </w:tc>
      </w:tr>
      <w:tr w14:paraId="295246CC">
        <w:tblPrEx>
          <w:tblCellMar>
            <w:top w:w="0" w:type="dxa"/>
            <w:left w:w="108" w:type="dxa"/>
            <w:bottom w:w="0" w:type="dxa"/>
            <w:right w:w="108" w:type="dxa"/>
          </w:tblCellMar>
        </w:tblPrEx>
        <w:trPr>
          <w:trHeight w:val="68" w:hRule="atLeast"/>
          <w:jc w:val="center"/>
        </w:trPr>
        <w:tc>
          <w:tcPr>
            <w:tcW w:w="4659" w:type="dxa"/>
            <w:vAlign w:val="center"/>
          </w:tcPr>
          <w:p w14:paraId="523C3AB3">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1580755011" name="图片 1580755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11" name="图片 15807550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6BA4B8CB">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12" name="图片 1580755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12" name="图片 158075501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3AC1B8F1">
        <w:tblPrEx>
          <w:tblCellMar>
            <w:top w:w="0" w:type="dxa"/>
            <w:left w:w="108" w:type="dxa"/>
            <w:bottom w:w="0" w:type="dxa"/>
            <w:right w:w="108" w:type="dxa"/>
          </w:tblCellMar>
        </w:tblPrEx>
        <w:trPr>
          <w:trHeight w:val="68" w:hRule="atLeast"/>
          <w:jc w:val="center"/>
        </w:trPr>
        <w:tc>
          <w:tcPr>
            <w:tcW w:w="4659" w:type="dxa"/>
            <w:vAlign w:val="center"/>
          </w:tcPr>
          <w:p w14:paraId="5472CE1C">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e</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1998</w:t>
            </w:r>
          </w:p>
        </w:tc>
        <w:tc>
          <w:tcPr>
            <w:tcW w:w="4659" w:type="dxa"/>
          </w:tcPr>
          <w:p w14:paraId="5359E562">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f</w:t>
            </w:r>
            <w:r>
              <w:rPr>
                <w:rFonts w:ascii="Times New Roman" w:hAnsi="Times New Roman"/>
                <w:color w:val="auto"/>
              </w:rPr>
              <w:t>)</w:t>
            </w:r>
            <w:r>
              <w:rPr>
                <w:rFonts w:hint="eastAsia" w:ascii="Times New Roman" w:hAnsi="Times New Roman" w:eastAsiaTheme="minorEastAsia"/>
                <w:color w:val="auto"/>
                <w:lang w:eastAsia="zh-CN"/>
              </w:rPr>
              <w:t xml:space="preserve"> 2012</w:t>
            </w:r>
          </w:p>
        </w:tc>
      </w:tr>
      <w:tr w14:paraId="24902893">
        <w:tblPrEx>
          <w:tblCellMar>
            <w:top w:w="0" w:type="dxa"/>
            <w:left w:w="108" w:type="dxa"/>
            <w:bottom w:w="0" w:type="dxa"/>
            <w:right w:w="108" w:type="dxa"/>
          </w:tblCellMar>
        </w:tblPrEx>
        <w:trPr>
          <w:trHeight w:val="68" w:hRule="atLeast"/>
          <w:jc w:val="center"/>
        </w:trPr>
        <w:tc>
          <w:tcPr>
            <w:tcW w:w="4659" w:type="dxa"/>
            <w:vAlign w:val="center"/>
          </w:tcPr>
          <w:p w14:paraId="34E0D54F">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1580755013" name="图片 158075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13" name="图片 158075501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306416C9">
            <w:pPr>
              <w:pStyle w:val="43"/>
              <w:ind w:firstLine="400" w:firstLineChars="200"/>
              <w:rPr>
                <w:rFonts w:ascii="Times New Roman" w:hAnsi="Times New Roman" w:eastAsiaTheme="minorEastAsia"/>
                <w:color w:val="auto"/>
                <w:lang w:eastAsia="zh-CN"/>
              </w:rPr>
            </w:pPr>
          </w:p>
          <w:p w14:paraId="0ACAE3C1">
            <w:pPr>
              <w:pStyle w:val="43"/>
              <w:ind w:firstLine="400" w:firstLineChars="200"/>
              <w:jc w:val="both"/>
              <w:rPr>
                <w:rFonts w:ascii="Times New Roman" w:hAnsi="Times New Roman" w:eastAsiaTheme="minorEastAsia"/>
                <w:color w:val="auto"/>
                <w:lang w:eastAsia="zh-CN"/>
              </w:rPr>
            </w:pPr>
          </w:p>
        </w:tc>
      </w:tr>
      <w:tr w14:paraId="68A3D536">
        <w:tblPrEx>
          <w:tblCellMar>
            <w:top w:w="0" w:type="dxa"/>
            <w:left w:w="108" w:type="dxa"/>
            <w:bottom w:w="0" w:type="dxa"/>
            <w:right w:w="108" w:type="dxa"/>
          </w:tblCellMar>
        </w:tblPrEx>
        <w:trPr>
          <w:trHeight w:val="68" w:hRule="atLeast"/>
          <w:jc w:val="center"/>
        </w:trPr>
        <w:tc>
          <w:tcPr>
            <w:tcW w:w="4659" w:type="dxa"/>
            <w:vAlign w:val="center"/>
          </w:tcPr>
          <w:p w14:paraId="4971517D">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g</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2020</w:t>
            </w:r>
          </w:p>
        </w:tc>
        <w:tc>
          <w:tcPr>
            <w:tcW w:w="4659" w:type="dxa"/>
          </w:tcPr>
          <w:p w14:paraId="1B500A32">
            <w:pPr>
              <w:pStyle w:val="43"/>
              <w:ind w:firstLine="400" w:firstLineChars="200"/>
              <w:rPr>
                <w:rFonts w:ascii="Times New Roman" w:hAnsi="Times New Roman" w:eastAsiaTheme="minorEastAsia"/>
                <w:color w:val="auto"/>
                <w:lang w:eastAsia="zh-CN"/>
              </w:rPr>
            </w:pPr>
          </w:p>
        </w:tc>
      </w:tr>
    </w:tbl>
    <w:p w14:paraId="70376988">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 xml:space="preserve">Fig. </w:t>
      </w:r>
      <w:r>
        <w:rPr>
          <w:rFonts w:ascii="Times New Roman" w:hAnsi="Times New Roman" w:eastAsiaTheme="minorEastAsia"/>
          <w:color w:val="auto"/>
        </w:rPr>
        <w:t>1</w:t>
      </w:r>
      <w:r>
        <w:rPr>
          <w:rFonts w:hint="eastAsia" w:ascii="Times New Roman" w:hAnsi="Times New Roman" w:eastAsiaTheme="minorEastAsia"/>
          <w:color w:val="auto"/>
          <w:lang w:eastAsia="zh-CN"/>
        </w:rPr>
        <w:t>1</w:t>
      </w:r>
      <w:r>
        <w:rPr>
          <w:rFonts w:ascii="Times New Roman" w:hAnsi="Times New Roman" w:eastAsiaTheme="minorEastAsia"/>
          <w:color w:val="auto"/>
        </w:rPr>
        <w:t xml:space="preserve"> Variation in excess flood volume with initial operating water level for each typical year under different release-discharge conditions for 1% flood (Scenario 2): (a) 1954; (b) 1966; (c) 1981; (d) 1982; (e) 1998; (f) 2012; (g) 2020.</w:t>
      </w:r>
    </w:p>
    <w:p w14:paraId="18D87C59">
      <w:pPr>
        <w:ind w:firstLine="420"/>
        <w:jc w:val="center"/>
        <w:rPr>
          <w:rFonts w:ascii="Times New Roman" w:hAnsi="Times New Roman" w:eastAsia="黑体"/>
          <w:color w:val="auto"/>
          <w:sz w:val="18"/>
          <w:szCs w:val="18"/>
        </w:rPr>
      </w:pPr>
      <w:r>
        <w:rPr>
          <w:rFonts w:ascii="黑体" w:hAnsi="黑体" w:eastAsia="黑体"/>
          <w:color w:val="auto"/>
          <w:sz w:val="18"/>
          <w:szCs w:val="18"/>
        </w:rPr>
        <w:t>图</w:t>
      </w:r>
      <w:r>
        <w:rPr>
          <w:rFonts w:hint="eastAsia" w:ascii="Times New Roman" w:hAnsi="Times New Roman" w:eastAsia="黑体"/>
          <w:color w:val="auto"/>
          <w:sz w:val="18"/>
          <w:szCs w:val="18"/>
        </w:rPr>
        <w:t>11 1%</w:t>
      </w:r>
      <w:r>
        <w:rPr>
          <w:rFonts w:hint="eastAsia" w:ascii="黑体" w:hAnsi="黑体" w:eastAsia="黑体"/>
          <w:color w:val="auto"/>
          <w:sz w:val="18"/>
          <w:szCs w:val="18"/>
        </w:rPr>
        <w:t>频率不同下泄流量条件下各典型年超标准洪量随起调水位变化规律（工况</w:t>
      </w:r>
      <w:r>
        <w:rPr>
          <w:rFonts w:hint="eastAsia" w:ascii="Times New Roman" w:hAnsi="Times New Roman" w:eastAsia="黑体"/>
          <w:color w:val="auto"/>
          <w:sz w:val="18"/>
          <w:szCs w:val="18"/>
        </w:rPr>
        <w:t>2</w:t>
      </w:r>
      <w:r>
        <w:rPr>
          <w:rFonts w:hint="eastAsia" w:ascii="黑体" w:hAnsi="黑体" w:eastAsia="黑体"/>
          <w:color w:val="auto"/>
          <w:sz w:val="18"/>
          <w:szCs w:val="18"/>
        </w:rPr>
        <w:t xml:space="preserve">） </w:t>
      </w:r>
      <w:r>
        <w:rPr>
          <w:rFonts w:hint="eastAsia" w:ascii="Times New Roman" w:hAnsi="Times New Roman" w:eastAsia="黑体"/>
          <w:color w:val="auto"/>
          <w:sz w:val="18"/>
          <w:szCs w:val="18"/>
        </w:rPr>
        <w:t>(a) 1954</w:t>
      </w:r>
      <w:r>
        <w:rPr>
          <w:rFonts w:ascii="黑体" w:hAnsi="黑体" w:eastAsia="黑体"/>
          <w:color w:val="auto"/>
          <w:sz w:val="18"/>
          <w:szCs w:val="18"/>
        </w:rPr>
        <w:t>年；</w:t>
      </w:r>
      <w:r>
        <w:rPr>
          <w:rFonts w:hint="eastAsia" w:ascii="Times New Roman" w:hAnsi="Times New Roman" w:eastAsia="黑体"/>
          <w:color w:val="auto"/>
          <w:sz w:val="18"/>
          <w:szCs w:val="18"/>
        </w:rPr>
        <w:t>(b) 1966</w:t>
      </w:r>
      <w:r>
        <w:rPr>
          <w:rFonts w:hint="eastAsia" w:ascii="黑体" w:hAnsi="黑体" w:eastAsia="黑体"/>
          <w:color w:val="auto"/>
          <w:sz w:val="18"/>
          <w:szCs w:val="18"/>
        </w:rPr>
        <w:t>年；</w:t>
      </w:r>
      <w:r>
        <w:rPr>
          <w:rFonts w:hint="eastAsia" w:ascii="Times New Roman" w:hAnsi="Times New Roman" w:eastAsia="黑体"/>
          <w:color w:val="auto"/>
          <w:sz w:val="18"/>
          <w:szCs w:val="18"/>
        </w:rPr>
        <w:t>(c) 1981</w:t>
      </w:r>
      <w:r>
        <w:rPr>
          <w:rFonts w:ascii="黑体" w:hAnsi="黑体" w:eastAsia="黑体"/>
          <w:color w:val="auto"/>
          <w:sz w:val="18"/>
          <w:szCs w:val="18"/>
        </w:rPr>
        <w:t>年；</w:t>
      </w:r>
      <w:r>
        <w:rPr>
          <w:rFonts w:hint="eastAsia" w:ascii="Times New Roman" w:hAnsi="Times New Roman" w:eastAsia="黑体"/>
          <w:color w:val="auto"/>
          <w:sz w:val="18"/>
          <w:szCs w:val="18"/>
        </w:rPr>
        <w:t>(d) 1982</w:t>
      </w:r>
      <w:r>
        <w:rPr>
          <w:rFonts w:ascii="黑体" w:hAnsi="黑体" w:eastAsia="黑体"/>
          <w:color w:val="auto"/>
          <w:sz w:val="18"/>
          <w:szCs w:val="18"/>
        </w:rPr>
        <w:t>年；</w:t>
      </w:r>
      <w:r>
        <w:rPr>
          <w:rFonts w:hint="eastAsia" w:ascii="Times New Roman" w:hAnsi="Times New Roman" w:eastAsia="黑体"/>
          <w:color w:val="auto"/>
          <w:sz w:val="18"/>
          <w:szCs w:val="18"/>
        </w:rPr>
        <w:t>(e)1998</w:t>
      </w:r>
      <w:r>
        <w:rPr>
          <w:rFonts w:ascii="黑体" w:hAnsi="黑体" w:eastAsia="黑体"/>
          <w:color w:val="auto"/>
          <w:sz w:val="18"/>
          <w:szCs w:val="18"/>
        </w:rPr>
        <w:t>年；</w:t>
      </w:r>
      <w:r>
        <w:rPr>
          <w:rFonts w:hint="eastAsia" w:ascii="Times New Roman" w:hAnsi="Times New Roman" w:eastAsia="黑体"/>
          <w:color w:val="auto"/>
          <w:sz w:val="18"/>
          <w:szCs w:val="18"/>
        </w:rPr>
        <w:t>(f) 2012</w:t>
      </w:r>
      <w:r>
        <w:rPr>
          <w:rFonts w:ascii="黑体" w:hAnsi="黑体" w:eastAsia="黑体"/>
          <w:color w:val="auto"/>
          <w:sz w:val="18"/>
          <w:szCs w:val="18"/>
        </w:rPr>
        <w:t>年；</w:t>
      </w:r>
      <w:r>
        <w:rPr>
          <w:rFonts w:hint="eastAsia" w:ascii="Times New Roman" w:hAnsi="Times New Roman" w:eastAsia="黑体"/>
          <w:color w:val="auto"/>
          <w:sz w:val="18"/>
          <w:szCs w:val="18"/>
        </w:rPr>
        <w:t>(g) 2020</w:t>
      </w:r>
      <w:r>
        <w:rPr>
          <w:rFonts w:ascii="黑体" w:hAnsi="黑体" w:eastAsia="黑体"/>
          <w:color w:val="auto"/>
          <w:sz w:val="18"/>
          <w:szCs w:val="18"/>
        </w:rPr>
        <w:t>年</w:t>
      </w:r>
    </w:p>
    <w:p w14:paraId="44271210">
      <w:pPr>
        <w:pStyle w:val="34"/>
        <w:ind w:left="0" w:firstLine="400" w:firstLineChars="200"/>
        <w:jc w:val="center"/>
        <w:rPr>
          <w:rFonts w:ascii="Times New Roman" w:hAnsi="Times New Roman" w:eastAsiaTheme="minorEastAsia"/>
          <w:color w:val="auto"/>
        </w:rPr>
      </w:pPr>
    </w:p>
    <w:p w14:paraId="29ECBE57">
      <w:pPr>
        <w:pStyle w:val="34"/>
        <w:ind w:left="0" w:firstLine="400" w:firstLineChars="200"/>
        <w:rPr>
          <w:rFonts w:ascii="Times New Roman" w:hAnsi="Times New Roman" w:eastAsiaTheme="minorEastAsia"/>
          <w:color w:val="auto"/>
        </w:rPr>
      </w:pPr>
    </w:p>
    <w:p w14:paraId="7A4ED0DD">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In Scenario 2 (</w:t>
      </w: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rPr>
        <w:t>1</w:t>
      </w:r>
      <w:r>
        <w:rPr>
          <w:rFonts w:hint="eastAsia" w:ascii="Times New Roman" w:hAnsi="Times New Roman" w:eastAsiaTheme="minorEastAsia"/>
          <w:color w:val="auto"/>
          <w:sz w:val="21"/>
          <w:szCs w:val="21"/>
          <w:lang w:eastAsia="zh-CN"/>
        </w:rPr>
        <w:t>1</w:t>
      </w:r>
      <w:r>
        <w:rPr>
          <w:rFonts w:ascii="Times New Roman" w:hAnsi="Times New Roman" w:eastAsiaTheme="minorEastAsia"/>
          <w:color w:val="auto"/>
          <w:sz w:val="21"/>
          <w:szCs w:val="21"/>
        </w:rPr>
        <w:t xml:space="preserve">), by contrast, the variable is the upper release limit in the 155-171 m range (50,000-55,000 m³/s). Because 55,000 m³/s is itself the threshold used to define excess flood volume, increasing the upper release limit within this range does not directly enlarge the excess component. Instead, it allows more flood volume to be discharged earlier, before the system enters the stage with discharge above 55,000 m³/s, thereby reducing the probability and duration of subsequent excess release caused by excessive storage accumulation. Most typical years in </w:t>
      </w: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rPr>
        <w:t>1</w:t>
      </w:r>
      <w:r>
        <w:rPr>
          <w:rFonts w:hint="eastAsia" w:ascii="Times New Roman" w:hAnsi="Times New Roman" w:eastAsiaTheme="minorEastAsia"/>
          <w:color w:val="auto"/>
          <w:sz w:val="21"/>
          <w:szCs w:val="21"/>
          <w:lang w:eastAsia="zh-CN"/>
        </w:rPr>
        <w:t>1</w:t>
      </w:r>
      <w:r>
        <w:rPr>
          <w:rFonts w:ascii="Times New Roman" w:hAnsi="Times New Roman" w:eastAsiaTheme="minorEastAsia"/>
          <w:color w:val="auto"/>
          <w:sz w:val="21"/>
          <w:szCs w:val="21"/>
        </w:rPr>
        <w:t xml:space="preserve"> therefore show the pattern that larger release discharge leads to smaller excess flood volume. This advance-release effect becomes more pronounced once the initial operating water level exceeds 155 m, because the available flood-control space has already been reduced.</w:t>
      </w:r>
    </w:p>
    <w:p w14:paraId="3CAFB681">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For the design flood with a 0.1% exceedance probability, the variation in excess flood volume with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under different release discharges for representative years is shown in Fig. 1</w:t>
      </w:r>
      <w:r>
        <w:rPr>
          <w:rFonts w:hint="eastAsia" w:ascii="Times New Roman" w:hAnsi="Times New Roman" w:eastAsiaTheme="minorEastAsia"/>
          <w:color w:val="auto"/>
          <w:sz w:val="21"/>
          <w:szCs w:val="21"/>
          <w:lang w:eastAsia="zh-CN"/>
        </w:rPr>
        <w:t>2</w:t>
      </w:r>
      <w:r>
        <w:rPr>
          <w:rFonts w:ascii="Times New Roman" w:hAnsi="Times New Roman" w:eastAsiaTheme="minorEastAsia"/>
          <w:color w:val="auto"/>
          <w:sz w:val="21"/>
          <w:szCs w:val="21"/>
        </w:rPr>
        <w:t xml:space="preserve">. As can be seen from the figure, in 1954, the excess flood volume increased with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but remained unchanged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was below 155 m; once it exceeded 155 m, the excess flood volume began to increase with further increases in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In 1966, the excess flood volume increased with both the release discharge and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In 1981, the excess flood volume was insensitive to release discharge; it remained unchanged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was below 155 m, but increased with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once it exceeded 155 m. In 1982 and 1998, the excess flood volume increased with release discharge. At the same time, its increase was relatively slow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was below 155 m, but became much faster above 155 m. In 2012, a fixed excess discharge occurred only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reached 165 m, and it did not change with release discharge. In 2020, the excess flood volume was also independent of release discharge; it increased slowly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was below 153 m, but rose much more rapidly once the level exceeded 153 m.</w:t>
      </w:r>
    </w:p>
    <w:p w14:paraId="3BF9553F">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The main feature in </w:t>
      </w: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rPr>
        <w:t>1</w:t>
      </w:r>
      <w:r>
        <w:rPr>
          <w:rFonts w:hint="eastAsia" w:ascii="Times New Roman" w:hAnsi="Times New Roman" w:eastAsiaTheme="minorEastAsia"/>
          <w:color w:val="auto"/>
          <w:sz w:val="21"/>
          <w:szCs w:val="21"/>
          <w:lang w:eastAsia="zh-CN"/>
        </w:rPr>
        <w:t>2</w:t>
      </w:r>
      <w:r>
        <w:rPr>
          <w:rFonts w:ascii="Times New Roman" w:hAnsi="Times New Roman" w:eastAsiaTheme="minorEastAsia"/>
          <w:color w:val="auto"/>
          <w:sz w:val="21"/>
          <w:szCs w:val="21"/>
        </w:rPr>
        <w:t xml:space="preserve"> is that once flood magnitude increases, higher prescribed release limit in the 171-175 m range no longer mainly reduces excess flood volume; in some typical years it increases it. The reason is that 0.1% floods are more likely to drive the system into the 171-175 m operating range, where the upper outflow limit is already far above the 55,000 m³/s benchmark. Raising the release limit in this range can lower the in-reservoir water level, but it can also cause more flood volume to be released at discharge exceeding 55,000 m³/s, thereby directly increasing excess flood volume. </w:t>
      </w: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rPr>
        <w:t>1</w:t>
      </w:r>
      <w:r>
        <w:rPr>
          <w:rFonts w:hint="eastAsia" w:ascii="Times New Roman" w:hAnsi="Times New Roman" w:eastAsiaTheme="minorEastAsia"/>
          <w:color w:val="auto"/>
          <w:sz w:val="21"/>
          <w:szCs w:val="21"/>
          <w:lang w:eastAsia="zh-CN"/>
        </w:rPr>
        <w:t>2</w:t>
      </w:r>
      <w:r>
        <w:rPr>
          <w:rFonts w:ascii="Times New Roman" w:hAnsi="Times New Roman" w:eastAsiaTheme="minorEastAsia"/>
          <w:color w:val="auto"/>
          <w:sz w:val="21"/>
          <w:szCs w:val="21"/>
        </w:rPr>
        <w:t xml:space="preserve"> therefore reflects a redistribution between in-reservoir water-level risk and downstream flood-conveyance pressure. For typical years such as 1981, 2012, and 2020, where the change is weak, excess flood volume is controlled mainly by the initial operating water level or by the flood process itself rather than by prescribed release limit in the 171-175 m range.</w:t>
      </w:r>
    </w:p>
    <w:p w14:paraId="67481851">
      <w:pPr>
        <w:pStyle w:val="34"/>
        <w:ind w:left="0" w:firstLine="400" w:firstLineChars="200"/>
        <w:rPr>
          <w:rFonts w:ascii="Times New Roman" w:hAnsi="Times New Roman" w:eastAsiaTheme="minorEastAsia"/>
          <w:color w:val="auto"/>
        </w:rPr>
      </w:pPr>
    </w:p>
    <w:tbl>
      <w:tblPr>
        <w:tblStyle w:val="12"/>
        <w:tblW w:w="0" w:type="auto"/>
        <w:jc w:val="center"/>
        <w:tblLayout w:type="autofit"/>
        <w:tblCellMar>
          <w:top w:w="0" w:type="dxa"/>
          <w:left w:w="108" w:type="dxa"/>
          <w:bottom w:w="0" w:type="dxa"/>
          <w:right w:w="108" w:type="dxa"/>
        </w:tblCellMar>
      </w:tblPr>
      <w:tblGrid>
        <w:gridCol w:w="4261"/>
        <w:gridCol w:w="4261"/>
      </w:tblGrid>
      <w:tr w14:paraId="28D841B8">
        <w:tblPrEx>
          <w:tblCellMar>
            <w:top w:w="0" w:type="dxa"/>
            <w:left w:w="108" w:type="dxa"/>
            <w:bottom w:w="0" w:type="dxa"/>
            <w:right w:w="108" w:type="dxa"/>
          </w:tblCellMar>
        </w:tblPrEx>
        <w:trPr>
          <w:jc w:val="center"/>
        </w:trPr>
        <w:tc>
          <w:tcPr>
            <w:tcW w:w="4659" w:type="dxa"/>
            <w:vAlign w:val="center"/>
          </w:tcPr>
          <w:p w14:paraId="53D9D1BD">
            <w:pPr>
              <w:pStyle w:val="46"/>
              <w:spacing w:before="0"/>
              <w:jc w:val="both"/>
              <w:rPr>
                <w:rFonts w:ascii="Times New Roman" w:hAnsi="Times New Roman"/>
                <w:color w:val="auto"/>
              </w:rPr>
            </w:pPr>
            <w:r>
              <w:rPr>
                <w:rFonts w:ascii="Times New Roman" w:hAnsi="Times New Roman" w:eastAsiaTheme="minorEastAsia"/>
                <w:color w:val="auto"/>
                <w:lang w:eastAsia="zh-CN"/>
              </w:rPr>
              <w:drawing>
                <wp:inline distT="0" distB="0" distL="0" distR="0">
                  <wp:extent cx="2591435" cy="1981835"/>
                  <wp:effectExtent l="0" t="0" r="0" b="0"/>
                  <wp:docPr id="1580755021" name="图片 1580755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1" name="图片 158075502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6650123B">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22" name="图片 1580755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2" name="图片 15807550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4F0A0568">
        <w:tblPrEx>
          <w:tblCellMar>
            <w:top w:w="0" w:type="dxa"/>
            <w:left w:w="108" w:type="dxa"/>
            <w:bottom w:w="0" w:type="dxa"/>
            <w:right w:w="108" w:type="dxa"/>
          </w:tblCellMar>
        </w:tblPrEx>
        <w:trPr>
          <w:trHeight w:val="68" w:hRule="atLeast"/>
          <w:jc w:val="center"/>
        </w:trPr>
        <w:tc>
          <w:tcPr>
            <w:tcW w:w="4659" w:type="dxa"/>
            <w:vAlign w:val="center"/>
          </w:tcPr>
          <w:p w14:paraId="0B5DF2FC">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hint="eastAsia" w:ascii="Times New Roman" w:hAnsi="Times New Roman" w:eastAsiaTheme="minorEastAsia"/>
                <w:color w:val="auto"/>
                <w:lang w:eastAsia="zh-CN"/>
              </w:rPr>
              <w:t xml:space="preserve"> 1954</w:t>
            </w:r>
          </w:p>
        </w:tc>
        <w:tc>
          <w:tcPr>
            <w:tcW w:w="4659" w:type="dxa"/>
          </w:tcPr>
          <w:p w14:paraId="2E3F576F">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hint="eastAsia" w:ascii="Times New Roman" w:hAnsi="Times New Roman" w:eastAsiaTheme="minorEastAsia"/>
                <w:color w:val="auto"/>
                <w:lang w:eastAsia="zh-CN"/>
              </w:rPr>
              <w:t xml:space="preserve"> 1966</w:t>
            </w:r>
          </w:p>
        </w:tc>
      </w:tr>
      <w:tr w14:paraId="45703F5D">
        <w:tblPrEx>
          <w:tblCellMar>
            <w:top w:w="0" w:type="dxa"/>
            <w:left w:w="108" w:type="dxa"/>
            <w:bottom w:w="0" w:type="dxa"/>
            <w:right w:w="108" w:type="dxa"/>
          </w:tblCellMar>
        </w:tblPrEx>
        <w:trPr>
          <w:trHeight w:val="68" w:hRule="atLeast"/>
          <w:jc w:val="center"/>
        </w:trPr>
        <w:tc>
          <w:tcPr>
            <w:tcW w:w="4659" w:type="dxa"/>
            <w:vAlign w:val="center"/>
          </w:tcPr>
          <w:p w14:paraId="4E7E3694">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23" name="图片 1580755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3" name="图片 15807550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5B00B6C3">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24" name="图片 158075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4" name="图片 15807550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253D86D1">
        <w:tblPrEx>
          <w:tblCellMar>
            <w:top w:w="0" w:type="dxa"/>
            <w:left w:w="108" w:type="dxa"/>
            <w:bottom w:w="0" w:type="dxa"/>
            <w:right w:w="108" w:type="dxa"/>
          </w:tblCellMar>
        </w:tblPrEx>
        <w:trPr>
          <w:trHeight w:val="68" w:hRule="atLeast"/>
          <w:jc w:val="center"/>
        </w:trPr>
        <w:tc>
          <w:tcPr>
            <w:tcW w:w="4659" w:type="dxa"/>
            <w:vAlign w:val="center"/>
          </w:tcPr>
          <w:p w14:paraId="7E3BBB88">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c</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1981</w:t>
            </w:r>
          </w:p>
        </w:tc>
        <w:tc>
          <w:tcPr>
            <w:tcW w:w="4659" w:type="dxa"/>
          </w:tcPr>
          <w:p w14:paraId="54964E0F">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d</w:t>
            </w:r>
            <w:r>
              <w:rPr>
                <w:rFonts w:ascii="Times New Roman" w:hAnsi="Times New Roman"/>
                <w:color w:val="auto"/>
              </w:rPr>
              <w:t>)</w:t>
            </w:r>
            <w:r>
              <w:rPr>
                <w:rFonts w:hint="eastAsia" w:ascii="Times New Roman" w:hAnsi="Times New Roman" w:eastAsiaTheme="minorEastAsia"/>
                <w:color w:val="auto"/>
                <w:lang w:eastAsia="zh-CN"/>
              </w:rPr>
              <w:t xml:space="preserve"> 1982</w:t>
            </w:r>
          </w:p>
        </w:tc>
      </w:tr>
      <w:tr w14:paraId="4CEA97B7">
        <w:tblPrEx>
          <w:tblCellMar>
            <w:top w:w="0" w:type="dxa"/>
            <w:left w:w="108" w:type="dxa"/>
            <w:bottom w:w="0" w:type="dxa"/>
            <w:right w:w="108" w:type="dxa"/>
          </w:tblCellMar>
        </w:tblPrEx>
        <w:trPr>
          <w:trHeight w:val="68" w:hRule="atLeast"/>
          <w:jc w:val="center"/>
        </w:trPr>
        <w:tc>
          <w:tcPr>
            <w:tcW w:w="4659" w:type="dxa"/>
            <w:vAlign w:val="center"/>
          </w:tcPr>
          <w:p w14:paraId="4469D2F2">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1580755025" name="图片 158075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5" name="图片 158075502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2ACE71A5">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26" name="图片 158075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6" name="图片 158075502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7A24B6F8">
        <w:tblPrEx>
          <w:tblCellMar>
            <w:top w:w="0" w:type="dxa"/>
            <w:left w:w="108" w:type="dxa"/>
            <w:bottom w:w="0" w:type="dxa"/>
            <w:right w:w="108" w:type="dxa"/>
          </w:tblCellMar>
        </w:tblPrEx>
        <w:trPr>
          <w:trHeight w:val="68" w:hRule="atLeast"/>
          <w:jc w:val="center"/>
        </w:trPr>
        <w:tc>
          <w:tcPr>
            <w:tcW w:w="4659" w:type="dxa"/>
            <w:vAlign w:val="center"/>
          </w:tcPr>
          <w:p w14:paraId="5ECB19FA">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e</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1998</w:t>
            </w:r>
          </w:p>
        </w:tc>
        <w:tc>
          <w:tcPr>
            <w:tcW w:w="4659" w:type="dxa"/>
          </w:tcPr>
          <w:p w14:paraId="30B06523">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f</w:t>
            </w:r>
            <w:r>
              <w:rPr>
                <w:rFonts w:ascii="Times New Roman" w:hAnsi="Times New Roman"/>
                <w:color w:val="auto"/>
              </w:rPr>
              <w:t>)</w:t>
            </w:r>
            <w:r>
              <w:rPr>
                <w:rFonts w:hint="eastAsia" w:ascii="Times New Roman" w:hAnsi="Times New Roman" w:eastAsiaTheme="minorEastAsia"/>
                <w:color w:val="auto"/>
                <w:lang w:eastAsia="zh-CN"/>
              </w:rPr>
              <w:t xml:space="preserve"> 2012</w:t>
            </w:r>
          </w:p>
        </w:tc>
      </w:tr>
      <w:tr w14:paraId="026739FE">
        <w:tblPrEx>
          <w:tblCellMar>
            <w:top w:w="0" w:type="dxa"/>
            <w:left w:w="108" w:type="dxa"/>
            <w:bottom w:w="0" w:type="dxa"/>
            <w:right w:w="108" w:type="dxa"/>
          </w:tblCellMar>
        </w:tblPrEx>
        <w:trPr>
          <w:trHeight w:val="68" w:hRule="atLeast"/>
          <w:jc w:val="center"/>
        </w:trPr>
        <w:tc>
          <w:tcPr>
            <w:tcW w:w="4659" w:type="dxa"/>
            <w:vAlign w:val="center"/>
          </w:tcPr>
          <w:p w14:paraId="6D8C3E54">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1580755027" name="图片 158075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27" name="图片 158075502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4659" w:type="dxa"/>
          </w:tcPr>
          <w:p w14:paraId="38400E7B">
            <w:pPr>
              <w:pStyle w:val="43"/>
              <w:ind w:firstLine="400" w:firstLineChars="200"/>
              <w:rPr>
                <w:rFonts w:ascii="Times New Roman" w:hAnsi="Times New Roman" w:eastAsiaTheme="minorEastAsia"/>
                <w:color w:val="auto"/>
                <w:lang w:eastAsia="zh-CN"/>
              </w:rPr>
            </w:pPr>
          </w:p>
          <w:p w14:paraId="0C78692A">
            <w:pPr>
              <w:pStyle w:val="43"/>
              <w:ind w:firstLine="400" w:firstLineChars="200"/>
              <w:jc w:val="both"/>
              <w:rPr>
                <w:rFonts w:ascii="Times New Roman" w:hAnsi="Times New Roman" w:eastAsiaTheme="minorEastAsia"/>
                <w:color w:val="auto"/>
                <w:lang w:eastAsia="zh-CN"/>
              </w:rPr>
            </w:pPr>
          </w:p>
        </w:tc>
      </w:tr>
      <w:tr w14:paraId="0D98F180">
        <w:tblPrEx>
          <w:tblCellMar>
            <w:top w:w="0" w:type="dxa"/>
            <w:left w:w="108" w:type="dxa"/>
            <w:bottom w:w="0" w:type="dxa"/>
            <w:right w:w="108" w:type="dxa"/>
          </w:tblCellMar>
        </w:tblPrEx>
        <w:trPr>
          <w:trHeight w:val="68" w:hRule="atLeast"/>
          <w:jc w:val="center"/>
        </w:trPr>
        <w:tc>
          <w:tcPr>
            <w:tcW w:w="4659" w:type="dxa"/>
            <w:vAlign w:val="center"/>
          </w:tcPr>
          <w:p w14:paraId="4D286E8F">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g</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2020</w:t>
            </w:r>
          </w:p>
        </w:tc>
        <w:tc>
          <w:tcPr>
            <w:tcW w:w="4659" w:type="dxa"/>
          </w:tcPr>
          <w:p w14:paraId="23264104">
            <w:pPr>
              <w:pStyle w:val="43"/>
              <w:ind w:firstLine="400" w:firstLineChars="200"/>
              <w:rPr>
                <w:rFonts w:ascii="Times New Roman" w:hAnsi="Times New Roman" w:eastAsiaTheme="minorEastAsia"/>
                <w:color w:val="auto"/>
                <w:lang w:eastAsia="zh-CN"/>
              </w:rPr>
            </w:pPr>
          </w:p>
        </w:tc>
      </w:tr>
    </w:tbl>
    <w:p w14:paraId="3F757412">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 xml:space="preserve">Fig. </w:t>
      </w:r>
      <w:r>
        <w:rPr>
          <w:rFonts w:ascii="Times New Roman" w:hAnsi="Times New Roman" w:eastAsiaTheme="minorEastAsia"/>
          <w:color w:val="auto"/>
        </w:rPr>
        <w:t>1</w:t>
      </w:r>
      <w:r>
        <w:rPr>
          <w:rFonts w:hint="eastAsia" w:ascii="Times New Roman" w:hAnsi="Times New Roman" w:eastAsiaTheme="minorEastAsia"/>
          <w:color w:val="auto"/>
          <w:lang w:eastAsia="zh-CN"/>
        </w:rPr>
        <w:t>2</w:t>
      </w:r>
      <w:r>
        <w:rPr>
          <w:rFonts w:ascii="Times New Roman" w:hAnsi="Times New Roman" w:eastAsiaTheme="minorEastAsia"/>
          <w:color w:val="auto"/>
        </w:rPr>
        <w:t xml:space="preserve"> Variation in excess flood volume with initial operating water level for each typical year under different release-discharge conditions for 0.1% flood: (a) 1954; (b) 1966; (c) 1981; (d) 1982; (e) 1998; (f) 2012; (g) 2020.</w:t>
      </w:r>
    </w:p>
    <w:p w14:paraId="17F2B5B3">
      <w:pPr>
        <w:ind w:firstLine="420"/>
        <w:jc w:val="center"/>
        <w:rPr>
          <w:rFonts w:ascii="Times New Roman" w:hAnsi="Times New Roman" w:eastAsia="黑体"/>
          <w:color w:val="auto"/>
          <w:sz w:val="18"/>
          <w:szCs w:val="18"/>
        </w:rPr>
      </w:pPr>
      <w:r>
        <w:rPr>
          <w:rFonts w:ascii="黑体" w:hAnsi="黑体" w:eastAsia="黑体"/>
          <w:color w:val="auto"/>
          <w:sz w:val="18"/>
          <w:szCs w:val="18"/>
        </w:rPr>
        <w:t>图</w:t>
      </w:r>
      <w:r>
        <w:rPr>
          <w:rFonts w:hint="eastAsia" w:ascii="Times New Roman" w:hAnsi="Times New Roman" w:eastAsia="黑体"/>
          <w:color w:val="auto"/>
          <w:sz w:val="18"/>
          <w:szCs w:val="18"/>
        </w:rPr>
        <w:t>12 0.1%</w:t>
      </w:r>
      <w:r>
        <w:rPr>
          <w:rFonts w:hint="eastAsia" w:ascii="黑体" w:hAnsi="黑体" w:eastAsia="黑体"/>
          <w:color w:val="auto"/>
          <w:sz w:val="18"/>
          <w:szCs w:val="18"/>
        </w:rPr>
        <w:t xml:space="preserve">频率不同下泄流量条件下各典型年超标准洪量随起调水位变化规律 </w:t>
      </w:r>
      <w:r>
        <w:rPr>
          <w:rFonts w:hint="eastAsia" w:ascii="Times New Roman" w:hAnsi="Times New Roman" w:eastAsia="黑体"/>
          <w:color w:val="auto"/>
          <w:sz w:val="18"/>
          <w:szCs w:val="18"/>
        </w:rPr>
        <w:t>(a) 1954</w:t>
      </w:r>
      <w:r>
        <w:rPr>
          <w:rFonts w:ascii="黑体" w:hAnsi="黑体" w:eastAsia="黑体"/>
          <w:color w:val="auto"/>
          <w:sz w:val="18"/>
          <w:szCs w:val="18"/>
        </w:rPr>
        <w:t>年；</w:t>
      </w:r>
      <w:r>
        <w:rPr>
          <w:rFonts w:hint="eastAsia" w:ascii="Times New Roman" w:hAnsi="Times New Roman" w:eastAsia="黑体"/>
          <w:color w:val="auto"/>
          <w:sz w:val="18"/>
          <w:szCs w:val="18"/>
        </w:rPr>
        <w:t>(b) 1966</w:t>
      </w:r>
      <w:r>
        <w:rPr>
          <w:rFonts w:hint="eastAsia" w:ascii="黑体" w:hAnsi="黑体" w:eastAsia="黑体"/>
          <w:color w:val="auto"/>
          <w:sz w:val="18"/>
          <w:szCs w:val="18"/>
        </w:rPr>
        <w:t>年；</w:t>
      </w:r>
      <w:r>
        <w:rPr>
          <w:rFonts w:hint="eastAsia" w:ascii="Times New Roman" w:hAnsi="Times New Roman" w:eastAsia="黑体"/>
          <w:color w:val="auto"/>
          <w:sz w:val="18"/>
          <w:szCs w:val="18"/>
        </w:rPr>
        <w:t>(c) 1981</w:t>
      </w:r>
      <w:r>
        <w:rPr>
          <w:rFonts w:ascii="黑体" w:hAnsi="黑体" w:eastAsia="黑体"/>
          <w:color w:val="auto"/>
          <w:sz w:val="18"/>
          <w:szCs w:val="18"/>
        </w:rPr>
        <w:t>年；</w:t>
      </w:r>
      <w:r>
        <w:rPr>
          <w:rFonts w:hint="eastAsia" w:ascii="Times New Roman" w:hAnsi="Times New Roman" w:eastAsia="黑体"/>
          <w:color w:val="auto"/>
          <w:sz w:val="18"/>
          <w:szCs w:val="18"/>
        </w:rPr>
        <w:t>(d) 1982</w:t>
      </w:r>
      <w:r>
        <w:rPr>
          <w:rFonts w:ascii="黑体" w:hAnsi="黑体" w:eastAsia="黑体"/>
          <w:color w:val="auto"/>
          <w:sz w:val="18"/>
          <w:szCs w:val="18"/>
        </w:rPr>
        <w:t>年；</w:t>
      </w:r>
      <w:r>
        <w:rPr>
          <w:rFonts w:hint="eastAsia" w:ascii="Times New Roman" w:hAnsi="Times New Roman" w:eastAsia="黑体"/>
          <w:color w:val="auto"/>
          <w:sz w:val="18"/>
          <w:szCs w:val="18"/>
        </w:rPr>
        <w:t>(e)1998</w:t>
      </w:r>
      <w:r>
        <w:rPr>
          <w:rFonts w:ascii="黑体" w:hAnsi="黑体" w:eastAsia="黑体"/>
          <w:color w:val="auto"/>
          <w:sz w:val="18"/>
          <w:szCs w:val="18"/>
        </w:rPr>
        <w:t>年；</w:t>
      </w:r>
      <w:r>
        <w:rPr>
          <w:rFonts w:hint="eastAsia" w:ascii="Times New Roman" w:hAnsi="Times New Roman" w:eastAsia="黑体"/>
          <w:color w:val="auto"/>
          <w:sz w:val="18"/>
          <w:szCs w:val="18"/>
        </w:rPr>
        <w:t>(f) 2012</w:t>
      </w:r>
      <w:r>
        <w:rPr>
          <w:rFonts w:ascii="黑体" w:hAnsi="黑体" w:eastAsia="黑体"/>
          <w:color w:val="auto"/>
          <w:sz w:val="18"/>
          <w:szCs w:val="18"/>
        </w:rPr>
        <w:t>年；</w:t>
      </w:r>
      <w:r>
        <w:rPr>
          <w:rFonts w:hint="eastAsia" w:ascii="Times New Roman" w:hAnsi="Times New Roman" w:eastAsia="黑体"/>
          <w:color w:val="auto"/>
          <w:sz w:val="18"/>
          <w:szCs w:val="18"/>
        </w:rPr>
        <w:t>(g) 2020</w:t>
      </w:r>
      <w:r>
        <w:rPr>
          <w:rFonts w:ascii="黑体" w:hAnsi="黑体" w:eastAsia="黑体"/>
          <w:color w:val="auto"/>
          <w:sz w:val="18"/>
          <w:szCs w:val="18"/>
        </w:rPr>
        <w:t>年</w:t>
      </w:r>
    </w:p>
    <w:p w14:paraId="553161BA">
      <w:pPr>
        <w:pStyle w:val="34"/>
        <w:ind w:left="0" w:firstLine="400" w:firstLineChars="200"/>
        <w:jc w:val="center"/>
        <w:rPr>
          <w:rFonts w:ascii="Times New Roman" w:hAnsi="Times New Roman" w:eastAsiaTheme="minorEastAsia"/>
          <w:color w:val="auto"/>
        </w:rPr>
      </w:pPr>
    </w:p>
    <w:p w14:paraId="627F0445">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For the 0.01% design flood, the variation in excess flood volume with initial operating water level under different release-discharge conditions is shown in </w:t>
      </w: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rPr>
        <w:t>1</w:t>
      </w:r>
      <w:r>
        <w:rPr>
          <w:rFonts w:hint="eastAsia" w:ascii="Times New Roman" w:hAnsi="Times New Roman" w:eastAsiaTheme="minorEastAsia"/>
          <w:color w:val="auto"/>
          <w:sz w:val="21"/>
          <w:szCs w:val="21"/>
          <w:lang w:eastAsia="zh-CN"/>
        </w:rPr>
        <w:t>3</w:t>
      </w:r>
      <w:r>
        <w:rPr>
          <w:rFonts w:ascii="Times New Roman" w:hAnsi="Times New Roman" w:eastAsiaTheme="minorEastAsia"/>
          <w:color w:val="auto"/>
          <w:sz w:val="21"/>
          <w:szCs w:val="21"/>
        </w:rPr>
        <w:t>. In 1954, release discharge has almost no effect on excess flood volume; the curve remains unchanged below 155 m and increases above 155 m. In 1966 and 1982, excess flood volume does not vary with release discharge but increases with initial operating water level. In 1981 and 1998, excess flood volume increases with release discharge, with a slower increase below 155 m and a faster increase above 155 m. In 2012, excess flood volume increases with initial operating water level; below 159 m it is unaffected by release discharge, whereas above 159 m it increases slightly as release discharge increases. In 2020, excess flood volume increases with both initial operating water level and, to a lesser extent, release discharge.</w:t>
      </w:r>
    </w:p>
    <w:p w14:paraId="3DD3B3E4">
      <w:pPr>
        <w:pStyle w:val="34"/>
        <w:ind w:left="0" w:firstLine="420" w:firstLineChars="200"/>
        <w:rPr>
          <w:rFonts w:ascii="Times New Roman" w:hAnsi="Times New Roman" w:eastAsiaTheme="minorEastAsia"/>
          <w:color w:val="auto"/>
          <w:sz w:val="21"/>
          <w:szCs w:val="21"/>
          <w:lang w:eastAsia="zh-CN"/>
        </w:rPr>
      </w:pP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lang w:eastAsia="zh-CN"/>
        </w:rPr>
        <w:t>1</w:t>
      </w:r>
      <w:r>
        <w:rPr>
          <w:rFonts w:hint="eastAsia" w:ascii="Times New Roman" w:hAnsi="Times New Roman" w:eastAsiaTheme="minorEastAsia"/>
          <w:color w:val="auto"/>
          <w:sz w:val="21"/>
          <w:szCs w:val="21"/>
          <w:lang w:eastAsia="zh-CN"/>
        </w:rPr>
        <w:t>3</w:t>
      </w:r>
      <w:r>
        <w:rPr>
          <w:rFonts w:ascii="Times New Roman" w:hAnsi="Times New Roman" w:eastAsiaTheme="minorEastAsia"/>
          <w:color w:val="auto"/>
          <w:sz w:val="21"/>
          <w:szCs w:val="21"/>
          <w:lang w:eastAsia="zh-CN"/>
        </w:rPr>
        <w:t xml:space="preserve"> further indicates that under the 0.01% extreme flood, excess flood volume is governed mainly by total flood volume, the duration of high water levels, and large releases in the high-water-level range. Because the reservoir more frequently and more persistently remains in the 171-175 m operating range, increasing the upper release limit in this range often means that more flood volume is released directly at discharge above 55,000 m³/s. At the same time, a higher initial operating water level further compresses the flood-control storage available before the main flood arrives, causing the reservoir to enter the high-water-level, large-release stage earlier. For extreme floods, therefore, increasing prescribed release limit can reduce part of the in-reservoir high-water-level pressure, but this benefit is often achieved at the cost of larger downstream large-flow releases; the change in excess flood volume essentially reflects risk transfer between the reservoir and downstream reaches.</w:t>
      </w:r>
    </w:p>
    <w:p w14:paraId="7DA91016">
      <w:pPr>
        <w:pStyle w:val="34"/>
        <w:ind w:left="0" w:firstLine="420" w:firstLineChars="200"/>
        <w:rPr>
          <w:rFonts w:ascii="Times New Roman" w:hAnsi="Times New Roman" w:eastAsiaTheme="minorEastAsia"/>
          <w:color w:val="auto"/>
          <w:sz w:val="21"/>
          <w:szCs w:val="21"/>
          <w:lang w:eastAsia="zh-CN"/>
        </w:rPr>
      </w:pPr>
      <w:r>
        <w:rPr>
          <w:rFonts w:ascii="Times New Roman" w:hAnsi="Times New Roman" w:eastAsiaTheme="minorEastAsia"/>
          <w:color w:val="auto"/>
          <w:sz w:val="21"/>
          <w:szCs w:val="21"/>
          <w:lang w:eastAsia="zh-CN"/>
        </w:rPr>
        <w:t>In summary, the effects of release discharge on excess flood volume differ markedly among typical years and flood frequencies. For 1% floods, excess flood volume generally decreases as release discharge increases under Scenario 2, whereas under Scenario 1 it is mostly unchanged. The reason is that enhanced prescribed release limit in the intermediate operating range allows part of the flood volume to be discharged earlier and reduces the need for subsequent excess release, whereas changes in prescribed release limit in the high-water-level range have limited influence on this class of floods. For 0.1% and 0.01% floods, excess flood volume more often increases or remains nearly unchanged as release discharge increases, because the reservoir is more likely to enter the 171-175 m operating range. Optimizing release discharge is therefore not a matter of simply pursuing larger releases or lower water levels, but of seeking a dynamic balance between storage safety within the reservoir and release safety downstream.</w:t>
      </w:r>
    </w:p>
    <w:p w14:paraId="59DB0929">
      <w:pPr>
        <w:pStyle w:val="34"/>
        <w:ind w:left="0" w:firstLine="400" w:firstLineChars="200"/>
        <w:rPr>
          <w:rFonts w:ascii="Times New Roman" w:hAnsi="Times New Roman" w:eastAsiaTheme="minorEastAsia"/>
          <w:color w:val="auto"/>
          <w:lang w:eastAsia="zh-CN"/>
        </w:rPr>
      </w:pPr>
    </w:p>
    <w:tbl>
      <w:tblPr>
        <w:tblStyle w:val="12"/>
        <w:tblW w:w="0" w:type="auto"/>
        <w:jc w:val="center"/>
        <w:tblLayout w:type="autofit"/>
        <w:tblCellMar>
          <w:top w:w="0" w:type="dxa"/>
          <w:left w:w="108" w:type="dxa"/>
          <w:bottom w:w="0" w:type="dxa"/>
          <w:right w:w="108" w:type="dxa"/>
        </w:tblCellMar>
      </w:tblPr>
      <w:tblGrid>
        <w:gridCol w:w="4261"/>
        <w:gridCol w:w="4261"/>
      </w:tblGrid>
      <w:tr w14:paraId="0340AEF8">
        <w:tblPrEx>
          <w:tblCellMar>
            <w:top w:w="0" w:type="dxa"/>
            <w:left w:w="108" w:type="dxa"/>
            <w:bottom w:w="0" w:type="dxa"/>
            <w:right w:w="108" w:type="dxa"/>
          </w:tblCellMar>
        </w:tblPrEx>
        <w:trPr>
          <w:jc w:val="center"/>
        </w:trPr>
        <w:tc>
          <w:tcPr>
            <w:tcW w:w="5064" w:type="dxa"/>
            <w:vAlign w:val="center"/>
          </w:tcPr>
          <w:p w14:paraId="42FB5CC2">
            <w:pPr>
              <w:pStyle w:val="46"/>
              <w:spacing w:before="0"/>
              <w:jc w:val="both"/>
              <w:rPr>
                <w:rFonts w:ascii="Times New Roman" w:hAnsi="Times New Roman"/>
                <w:color w:val="auto"/>
              </w:rPr>
            </w:pPr>
            <w:r>
              <w:rPr>
                <w:rFonts w:ascii="Times New Roman" w:hAnsi="Times New Roman" w:eastAsiaTheme="minorEastAsia"/>
                <w:color w:val="auto"/>
                <w:lang w:eastAsia="zh-CN"/>
              </w:rPr>
              <w:drawing>
                <wp:inline distT="0" distB="0" distL="0" distR="0">
                  <wp:extent cx="2591435" cy="1981835"/>
                  <wp:effectExtent l="0" t="0" r="0" b="0"/>
                  <wp:docPr id="1580755036" name="图片 1580755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36" name="图片 158075503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5064" w:type="dxa"/>
            <w:vAlign w:val="center"/>
          </w:tcPr>
          <w:p w14:paraId="402269C6">
            <w:pPr>
              <w:pStyle w:val="46"/>
              <w:spacing w:before="0"/>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37" name="图片 1580755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37" name="图片 158075503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20EB1BCF">
        <w:tblPrEx>
          <w:tblCellMar>
            <w:top w:w="0" w:type="dxa"/>
            <w:left w:w="108" w:type="dxa"/>
            <w:bottom w:w="0" w:type="dxa"/>
            <w:right w:w="108" w:type="dxa"/>
          </w:tblCellMar>
        </w:tblPrEx>
        <w:trPr>
          <w:trHeight w:val="68" w:hRule="atLeast"/>
          <w:jc w:val="center"/>
        </w:trPr>
        <w:tc>
          <w:tcPr>
            <w:tcW w:w="5064" w:type="dxa"/>
            <w:vAlign w:val="center"/>
          </w:tcPr>
          <w:p w14:paraId="638511FF">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a</w:t>
            </w:r>
            <w:r>
              <w:rPr>
                <w:rFonts w:ascii="Times New Roman" w:hAnsi="Times New Roman"/>
                <w:color w:val="auto"/>
              </w:rPr>
              <w:t>)</w:t>
            </w:r>
            <w:r>
              <w:rPr>
                <w:rFonts w:hint="eastAsia" w:ascii="Times New Roman" w:hAnsi="Times New Roman" w:eastAsiaTheme="minorEastAsia"/>
                <w:color w:val="auto"/>
                <w:lang w:eastAsia="zh-CN"/>
              </w:rPr>
              <w:t xml:space="preserve"> 1954</w:t>
            </w:r>
          </w:p>
        </w:tc>
        <w:tc>
          <w:tcPr>
            <w:tcW w:w="5064" w:type="dxa"/>
            <w:vAlign w:val="center"/>
          </w:tcPr>
          <w:p w14:paraId="03103C6F">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b/>
                <w:color w:val="auto"/>
              </w:rPr>
              <w:t>b</w:t>
            </w:r>
            <w:r>
              <w:rPr>
                <w:rFonts w:ascii="Times New Roman" w:hAnsi="Times New Roman"/>
                <w:color w:val="auto"/>
              </w:rPr>
              <w:t>)</w:t>
            </w:r>
            <w:r>
              <w:rPr>
                <w:rFonts w:hint="eastAsia" w:ascii="Times New Roman" w:hAnsi="Times New Roman" w:eastAsiaTheme="minorEastAsia"/>
                <w:color w:val="auto"/>
                <w:lang w:eastAsia="zh-CN"/>
              </w:rPr>
              <w:t xml:space="preserve"> 1966</w:t>
            </w:r>
          </w:p>
        </w:tc>
      </w:tr>
      <w:tr w14:paraId="20BD74AF">
        <w:tblPrEx>
          <w:tblCellMar>
            <w:top w:w="0" w:type="dxa"/>
            <w:left w:w="108" w:type="dxa"/>
            <w:bottom w:w="0" w:type="dxa"/>
            <w:right w:w="108" w:type="dxa"/>
          </w:tblCellMar>
        </w:tblPrEx>
        <w:trPr>
          <w:trHeight w:val="68" w:hRule="atLeast"/>
          <w:jc w:val="center"/>
        </w:trPr>
        <w:tc>
          <w:tcPr>
            <w:tcW w:w="5064" w:type="dxa"/>
            <w:vAlign w:val="center"/>
          </w:tcPr>
          <w:p w14:paraId="7696917D">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38" name="图片 158075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38" name="图片 15807550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5064" w:type="dxa"/>
            <w:vAlign w:val="center"/>
          </w:tcPr>
          <w:p w14:paraId="09586F96">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39" name="图片 158075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39" name="图片 158075503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56271F30">
        <w:tblPrEx>
          <w:tblCellMar>
            <w:top w:w="0" w:type="dxa"/>
            <w:left w:w="108" w:type="dxa"/>
            <w:bottom w:w="0" w:type="dxa"/>
            <w:right w:w="108" w:type="dxa"/>
          </w:tblCellMar>
        </w:tblPrEx>
        <w:trPr>
          <w:trHeight w:val="68" w:hRule="atLeast"/>
          <w:jc w:val="center"/>
        </w:trPr>
        <w:tc>
          <w:tcPr>
            <w:tcW w:w="5064" w:type="dxa"/>
            <w:vAlign w:val="center"/>
          </w:tcPr>
          <w:p w14:paraId="1F3210FA">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c</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1981</w:t>
            </w:r>
          </w:p>
        </w:tc>
        <w:tc>
          <w:tcPr>
            <w:tcW w:w="5064" w:type="dxa"/>
            <w:vAlign w:val="center"/>
          </w:tcPr>
          <w:p w14:paraId="5EC21186">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d</w:t>
            </w:r>
            <w:r>
              <w:rPr>
                <w:rFonts w:ascii="Times New Roman" w:hAnsi="Times New Roman"/>
                <w:color w:val="auto"/>
              </w:rPr>
              <w:t>)</w:t>
            </w:r>
            <w:r>
              <w:rPr>
                <w:rFonts w:hint="eastAsia" w:ascii="Times New Roman" w:hAnsi="Times New Roman" w:eastAsiaTheme="minorEastAsia"/>
                <w:color w:val="auto"/>
                <w:lang w:eastAsia="zh-CN"/>
              </w:rPr>
              <w:t xml:space="preserve"> 1982</w:t>
            </w:r>
          </w:p>
        </w:tc>
      </w:tr>
      <w:tr w14:paraId="1EAB0723">
        <w:tblPrEx>
          <w:tblCellMar>
            <w:top w:w="0" w:type="dxa"/>
            <w:left w:w="108" w:type="dxa"/>
            <w:bottom w:w="0" w:type="dxa"/>
            <w:right w:w="108" w:type="dxa"/>
          </w:tblCellMar>
        </w:tblPrEx>
        <w:trPr>
          <w:trHeight w:val="68" w:hRule="atLeast"/>
          <w:jc w:val="center"/>
        </w:trPr>
        <w:tc>
          <w:tcPr>
            <w:tcW w:w="5064" w:type="dxa"/>
            <w:vAlign w:val="center"/>
          </w:tcPr>
          <w:p w14:paraId="35E468A7">
            <w:pPr>
              <w:pStyle w:val="43"/>
              <w:jc w:val="both"/>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1580755040" name="图片 158075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40" name="图片 158075504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5064" w:type="dxa"/>
            <w:vAlign w:val="center"/>
          </w:tcPr>
          <w:p w14:paraId="168F9DF2">
            <w:pPr>
              <w:pStyle w:val="43"/>
              <w:jc w:val="both"/>
              <w:rPr>
                <w:rFonts w:ascii="Times New Roman" w:hAnsi="Times New Roman"/>
                <w:color w:val="auto"/>
              </w:rPr>
            </w:pPr>
            <w:r>
              <w:rPr>
                <w:rFonts w:ascii="Times New Roman" w:hAnsi="Times New Roman"/>
                <w:color w:val="auto"/>
              </w:rPr>
              <w:drawing>
                <wp:inline distT="0" distB="0" distL="0" distR="0">
                  <wp:extent cx="2591435" cy="1981835"/>
                  <wp:effectExtent l="0" t="0" r="0" b="0"/>
                  <wp:docPr id="1580755041" name="图片 158075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41" name="图片 158075504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r>
      <w:tr w14:paraId="33128FCE">
        <w:tblPrEx>
          <w:tblCellMar>
            <w:top w:w="0" w:type="dxa"/>
            <w:left w:w="108" w:type="dxa"/>
            <w:bottom w:w="0" w:type="dxa"/>
            <w:right w:w="108" w:type="dxa"/>
          </w:tblCellMar>
        </w:tblPrEx>
        <w:trPr>
          <w:trHeight w:val="68" w:hRule="atLeast"/>
          <w:jc w:val="center"/>
        </w:trPr>
        <w:tc>
          <w:tcPr>
            <w:tcW w:w="5064" w:type="dxa"/>
            <w:vAlign w:val="center"/>
          </w:tcPr>
          <w:p w14:paraId="223D825D">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e</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1998</w:t>
            </w:r>
          </w:p>
        </w:tc>
        <w:tc>
          <w:tcPr>
            <w:tcW w:w="5064" w:type="dxa"/>
            <w:vAlign w:val="center"/>
          </w:tcPr>
          <w:p w14:paraId="2CBEE98D">
            <w:pPr>
              <w:pStyle w:val="43"/>
              <w:ind w:firstLine="400" w:firstLineChars="200"/>
              <w:rPr>
                <w:rFonts w:ascii="Times New Roman" w:hAnsi="Times New Roman" w:eastAsiaTheme="minorEastAsia"/>
                <w:color w:val="auto"/>
                <w:lang w:eastAsia="zh-CN"/>
              </w:rPr>
            </w:pPr>
            <w:r>
              <w:rPr>
                <w:rFonts w:ascii="Times New Roman" w:hAnsi="Times New Roman"/>
                <w:color w:val="auto"/>
              </w:rPr>
              <w:t>(</w:t>
            </w:r>
            <w:r>
              <w:rPr>
                <w:rFonts w:ascii="Times New Roman" w:hAnsi="Times New Roman" w:eastAsiaTheme="minorEastAsia"/>
                <w:b/>
                <w:color w:val="auto"/>
                <w:lang w:eastAsia="zh-CN"/>
              </w:rPr>
              <w:t>f</w:t>
            </w:r>
            <w:r>
              <w:rPr>
                <w:rFonts w:ascii="Times New Roman" w:hAnsi="Times New Roman"/>
                <w:color w:val="auto"/>
              </w:rPr>
              <w:t>)</w:t>
            </w:r>
            <w:r>
              <w:rPr>
                <w:rFonts w:hint="eastAsia" w:ascii="Times New Roman" w:hAnsi="Times New Roman" w:eastAsiaTheme="minorEastAsia"/>
                <w:color w:val="auto"/>
                <w:lang w:eastAsia="zh-CN"/>
              </w:rPr>
              <w:t xml:space="preserve"> 2012</w:t>
            </w:r>
          </w:p>
        </w:tc>
      </w:tr>
      <w:tr w14:paraId="3C98DCC4">
        <w:tblPrEx>
          <w:tblCellMar>
            <w:top w:w="0" w:type="dxa"/>
            <w:left w:w="108" w:type="dxa"/>
            <w:bottom w:w="0" w:type="dxa"/>
            <w:right w:w="108" w:type="dxa"/>
          </w:tblCellMar>
        </w:tblPrEx>
        <w:trPr>
          <w:trHeight w:val="68" w:hRule="atLeast"/>
          <w:jc w:val="center"/>
        </w:trPr>
        <w:tc>
          <w:tcPr>
            <w:tcW w:w="5064" w:type="dxa"/>
            <w:vAlign w:val="center"/>
          </w:tcPr>
          <w:p w14:paraId="6A23938C">
            <w:pPr>
              <w:pStyle w:val="43"/>
              <w:rPr>
                <w:rFonts w:ascii="Times New Roman" w:hAnsi="Times New Roman" w:eastAsiaTheme="minorEastAsia"/>
                <w:color w:val="auto"/>
                <w:lang w:eastAsia="zh-CN"/>
              </w:rPr>
            </w:pPr>
            <w:r>
              <w:rPr>
                <w:rFonts w:ascii="Times New Roman" w:hAnsi="Times New Roman" w:eastAsiaTheme="minorEastAsia"/>
                <w:color w:val="auto"/>
                <w:lang w:eastAsia="zh-CN"/>
              </w:rPr>
              <w:drawing>
                <wp:inline distT="0" distB="0" distL="0" distR="0">
                  <wp:extent cx="2591435" cy="1981835"/>
                  <wp:effectExtent l="0" t="0" r="0" b="0"/>
                  <wp:docPr id="1580755042" name="图片 158075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55042" name="图片 158075504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2592000" cy="1982118"/>
                          </a:xfrm>
                          <a:prstGeom prst="rect">
                            <a:avLst/>
                          </a:prstGeom>
                          <a:noFill/>
                          <a:ln>
                            <a:noFill/>
                          </a:ln>
                        </pic:spPr>
                      </pic:pic>
                    </a:graphicData>
                  </a:graphic>
                </wp:inline>
              </w:drawing>
            </w:r>
          </w:p>
        </w:tc>
        <w:tc>
          <w:tcPr>
            <w:tcW w:w="5064" w:type="dxa"/>
            <w:vAlign w:val="center"/>
          </w:tcPr>
          <w:p w14:paraId="71E04729">
            <w:pPr>
              <w:pStyle w:val="43"/>
              <w:ind w:firstLine="400" w:firstLineChars="200"/>
              <w:rPr>
                <w:rFonts w:ascii="Times New Roman" w:hAnsi="Times New Roman" w:eastAsiaTheme="minorEastAsia"/>
                <w:color w:val="auto"/>
                <w:lang w:eastAsia="zh-CN"/>
              </w:rPr>
            </w:pPr>
          </w:p>
          <w:p w14:paraId="4416DFEA">
            <w:pPr>
              <w:pStyle w:val="43"/>
              <w:ind w:firstLine="400" w:firstLineChars="200"/>
              <w:rPr>
                <w:rFonts w:ascii="Times New Roman" w:hAnsi="Times New Roman" w:eastAsiaTheme="minorEastAsia"/>
                <w:color w:val="auto"/>
                <w:lang w:eastAsia="zh-CN"/>
              </w:rPr>
            </w:pPr>
          </w:p>
        </w:tc>
      </w:tr>
      <w:tr w14:paraId="44DEFA9C">
        <w:tblPrEx>
          <w:tblCellMar>
            <w:top w:w="0" w:type="dxa"/>
            <w:left w:w="108" w:type="dxa"/>
            <w:bottom w:w="0" w:type="dxa"/>
            <w:right w:w="108" w:type="dxa"/>
          </w:tblCellMar>
        </w:tblPrEx>
        <w:trPr>
          <w:trHeight w:val="68" w:hRule="atLeast"/>
          <w:jc w:val="center"/>
        </w:trPr>
        <w:tc>
          <w:tcPr>
            <w:tcW w:w="5064" w:type="dxa"/>
            <w:vAlign w:val="center"/>
          </w:tcPr>
          <w:p w14:paraId="4F5A0CFD">
            <w:pPr>
              <w:pStyle w:val="43"/>
              <w:ind w:firstLine="400" w:firstLineChars="200"/>
              <w:rPr>
                <w:rFonts w:ascii="Times New Roman" w:hAnsi="Times New Roman" w:eastAsiaTheme="minorEastAsia"/>
                <w:color w:val="auto"/>
                <w:lang w:eastAsia="zh-CN"/>
              </w:rPr>
            </w:pPr>
            <w:r>
              <w:rPr>
                <w:rFonts w:ascii="Times New Roman" w:hAnsi="Times New Roman" w:eastAsiaTheme="minorEastAsia"/>
                <w:color w:val="auto"/>
                <w:lang w:eastAsia="zh-CN"/>
              </w:rPr>
              <w:t>(</w:t>
            </w:r>
            <w:r>
              <w:rPr>
                <w:rFonts w:ascii="Times New Roman" w:hAnsi="Times New Roman" w:eastAsiaTheme="minorEastAsia"/>
                <w:b/>
                <w:color w:val="auto"/>
                <w:lang w:eastAsia="zh-CN"/>
              </w:rPr>
              <w:t>g</w:t>
            </w:r>
            <w:r>
              <w:rPr>
                <w:rFonts w:ascii="Times New Roman" w:hAnsi="Times New Roman" w:eastAsiaTheme="minorEastAsia"/>
                <w:color w:val="auto"/>
                <w:lang w:eastAsia="zh-CN"/>
              </w:rPr>
              <w:t>)</w:t>
            </w:r>
            <w:r>
              <w:rPr>
                <w:rFonts w:hint="eastAsia" w:ascii="Times New Roman" w:hAnsi="Times New Roman" w:eastAsiaTheme="minorEastAsia"/>
                <w:color w:val="auto"/>
                <w:lang w:eastAsia="zh-CN"/>
              </w:rPr>
              <w:t xml:space="preserve"> 2020</w:t>
            </w:r>
          </w:p>
        </w:tc>
        <w:tc>
          <w:tcPr>
            <w:tcW w:w="5064" w:type="dxa"/>
            <w:vAlign w:val="center"/>
          </w:tcPr>
          <w:p w14:paraId="4CB1322E">
            <w:pPr>
              <w:pStyle w:val="43"/>
              <w:ind w:firstLine="400" w:firstLineChars="200"/>
              <w:rPr>
                <w:rFonts w:ascii="Times New Roman" w:hAnsi="Times New Roman" w:eastAsiaTheme="minorEastAsia"/>
                <w:color w:val="auto"/>
                <w:lang w:eastAsia="zh-CN"/>
              </w:rPr>
            </w:pPr>
          </w:p>
        </w:tc>
      </w:tr>
    </w:tbl>
    <w:p w14:paraId="3940FBBA">
      <w:pPr>
        <w:pStyle w:val="34"/>
        <w:ind w:left="0" w:firstLine="400" w:firstLineChars="200"/>
        <w:jc w:val="center"/>
        <w:rPr>
          <w:rFonts w:ascii="Times New Roman" w:hAnsi="Times New Roman" w:eastAsiaTheme="minorEastAsia"/>
          <w:color w:val="auto"/>
        </w:rPr>
      </w:pPr>
      <w:r>
        <w:rPr>
          <w:rFonts w:hint="eastAsia" w:ascii="Times New Roman" w:hAnsi="Times New Roman" w:eastAsiaTheme="minorEastAsia"/>
          <w:color w:val="auto"/>
          <w:lang w:eastAsia="zh-CN"/>
        </w:rPr>
        <w:t xml:space="preserve">Fig. </w:t>
      </w:r>
      <w:r>
        <w:rPr>
          <w:rFonts w:ascii="Times New Roman" w:hAnsi="Times New Roman" w:eastAsiaTheme="minorEastAsia"/>
          <w:color w:val="auto"/>
        </w:rPr>
        <w:t>1</w:t>
      </w:r>
      <w:r>
        <w:rPr>
          <w:rFonts w:hint="eastAsia" w:ascii="Times New Roman" w:hAnsi="Times New Roman" w:eastAsiaTheme="minorEastAsia"/>
          <w:color w:val="auto"/>
          <w:lang w:eastAsia="zh-CN"/>
        </w:rPr>
        <w:t>3</w:t>
      </w:r>
      <w:r>
        <w:rPr>
          <w:rFonts w:ascii="Times New Roman" w:hAnsi="Times New Roman" w:eastAsiaTheme="minorEastAsia"/>
          <w:color w:val="auto"/>
        </w:rPr>
        <w:t xml:space="preserve">  Variation in excess flood volume with initial operating water level for each typical year under different release-discharge conditions for 0.01% flood: (a) 1954; (b) 1966; (c) 1981; (d) 1982; (e) 1998; (f) 2012; (g) 2020.</w:t>
      </w:r>
    </w:p>
    <w:p w14:paraId="0D05EC3C">
      <w:pPr>
        <w:ind w:firstLine="420"/>
        <w:jc w:val="center"/>
        <w:rPr>
          <w:rFonts w:ascii="Times New Roman" w:hAnsi="Times New Roman" w:eastAsia="黑体"/>
          <w:color w:val="auto"/>
          <w:sz w:val="18"/>
          <w:szCs w:val="18"/>
        </w:rPr>
      </w:pPr>
      <w:r>
        <w:rPr>
          <w:rFonts w:ascii="Times New Roman" w:hAnsi="Times New Roman" w:eastAsia="黑体"/>
          <w:color w:val="auto"/>
          <w:sz w:val="18"/>
          <w:szCs w:val="18"/>
        </w:rPr>
        <w:t>图1</w:t>
      </w:r>
      <w:r>
        <w:rPr>
          <w:rFonts w:hint="eastAsia" w:ascii="Times New Roman" w:hAnsi="Times New Roman" w:eastAsia="黑体"/>
          <w:color w:val="auto"/>
          <w:sz w:val="18"/>
          <w:szCs w:val="18"/>
        </w:rPr>
        <w:t>3</w:t>
      </w:r>
      <w:r>
        <w:rPr>
          <w:rFonts w:ascii="Times New Roman" w:hAnsi="Times New Roman" w:eastAsia="黑体"/>
          <w:color w:val="auto"/>
          <w:sz w:val="18"/>
          <w:szCs w:val="18"/>
        </w:rPr>
        <w:t xml:space="preserve">  0.01%频率不同下泄流量条件下各典型年</w:t>
      </w:r>
      <w:r>
        <w:rPr>
          <w:rFonts w:hint="eastAsia" w:ascii="Times New Roman" w:hAnsi="Times New Roman" w:eastAsia="黑体"/>
          <w:color w:val="auto"/>
          <w:sz w:val="18"/>
          <w:szCs w:val="18"/>
        </w:rPr>
        <w:t>超标准</w:t>
      </w:r>
      <w:r>
        <w:rPr>
          <w:rFonts w:ascii="Times New Roman" w:hAnsi="Times New Roman" w:eastAsia="黑体"/>
          <w:color w:val="auto"/>
          <w:sz w:val="18"/>
          <w:szCs w:val="18"/>
        </w:rPr>
        <w:t>洪量随起调水位变化规律 (a) 1954年；(b) 1966年；(c) 1981年；(d) 1982年；(e)1998年；(f) 2012年；(g) 2020年</w:t>
      </w:r>
    </w:p>
    <w:p w14:paraId="37446F39">
      <w:pPr>
        <w:pStyle w:val="34"/>
        <w:ind w:left="0" w:firstLine="400" w:firstLineChars="200"/>
        <w:rPr>
          <w:rFonts w:ascii="Times New Roman" w:hAnsi="Times New Roman" w:eastAsiaTheme="minorEastAsia"/>
          <w:color w:val="auto"/>
        </w:rPr>
      </w:pPr>
    </w:p>
    <w:p w14:paraId="576BA4BD">
      <w:pPr>
        <w:pStyle w:val="48"/>
        <w:ind w:left="0"/>
        <w:rPr>
          <w:rFonts w:ascii="Times New Roman" w:hAnsi="Times New Roman"/>
          <w:color w:val="auto"/>
          <w:sz w:val="28"/>
          <w:szCs w:val="28"/>
        </w:rPr>
      </w:pPr>
      <w:r>
        <w:rPr>
          <w:rFonts w:ascii="Times New Roman" w:hAnsi="Times New Roman"/>
          <w:color w:val="auto"/>
          <w:sz w:val="28"/>
          <w:szCs w:val="28"/>
        </w:rPr>
        <w:t>4. Discussion</w:t>
      </w:r>
    </w:p>
    <w:p w14:paraId="579BC7FE">
      <w:pPr>
        <w:pStyle w:val="49"/>
        <w:spacing w:before="0" w:after="0" w:line="240" w:lineRule="auto"/>
        <w:ind w:left="0"/>
        <w:rPr>
          <w:rFonts w:ascii="Times New Roman" w:hAnsi="Times New Roman"/>
          <w:b/>
          <w:bCs/>
          <w:i w:val="0"/>
          <w:iCs/>
          <w:color w:val="auto"/>
          <w:sz w:val="21"/>
          <w:szCs w:val="21"/>
        </w:rPr>
      </w:pPr>
      <w:r>
        <w:rPr>
          <w:rFonts w:ascii="Times New Roman" w:hAnsi="Times New Roman"/>
          <w:b/>
          <w:bCs/>
          <w:i w:val="0"/>
          <w:iCs/>
          <w:color w:val="auto"/>
          <w:sz w:val="21"/>
          <w:szCs w:val="21"/>
        </w:rPr>
        <w:t>4.1. Why 155 m is a critical dividing line for the initial operating water level</w:t>
      </w:r>
    </w:p>
    <w:p w14:paraId="0E54333E">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The results of this study show that, under design floods with exceedance probabilities of 1%, 0.1%, and 0.01%, the effects of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on both the flood-control high water level and the excess flood volume exhibit a clear stage-wise pattern.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does not exceed 155 m, both variables are generally insensitive to changes in this level. However, once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rises above 155 m, both the flood-control high water level and the excess flood volume increase significantly. This indicates that 155 m is not merely an empirical threshold, but an important dividing point in the flood-season operation of the TGR. The reason is that 155 m corresponds to a key transition in the use of flood-control storage. According to the current operation rules, the storage between 145 and 155 m serves both the flood-control compensation needs of Chenglingji and the Jingjiang reach, whereas the storage between 155 and 171 m is mainly used for flood-control compensation in the Jingjiang reach</w:t>
      </w:r>
      <w:r>
        <w:rPr>
          <w:rFonts w:ascii="Times New Roman" w:hAnsi="Times New Roman" w:eastAsiaTheme="minorEastAsia"/>
          <w:color w:val="auto"/>
          <w:sz w:val="21"/>
          <w:szCs w:val="21"/>
          <w:vertAlign w:val="superscript"/>
        </w:rPr>
        <w:t>[1]</w:t>
      </w:r>
      <w:r>
        <w:rPr>
          <w:rFonts w:ascii="Times New Roman" w:hAnsi="Times New Roman" w:eastAsiaTheme="minorEastAsia"/>
          <w:color w:val="auto"/>
          <w:sz w:val="21"/>
          <w:szCs w:val="21"/>
        </w:rPr>
        <w:t xml:space="preserve">. Therefore,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is below 155 m, the reservoir still retains a relatively complete regulation space in the low-to-medium water level range. Once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exceeds 155 m, however, part of the critical flood-control storage has already been occupied in advance, significantly reducing the room available for subsequent flood regulation. As a result, the reservoir is more likely to experience a rise in the flood-control high water level and an increase in excess flood volume.</w:t>
      </w:r>
    </w:p>
    <w:p w14:paraId="4F3E8E71">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The storage capacity and storage increment per unit elevation in key water-level ranges of the Three Gorges Reservoir, defined as the increase in storage capacity for each 1 m rise in reservoir water level, are shown in Table 3. According to the water level</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storage relationship, the storage capacities corresponding to reservoir water levels of 145 m, 155 m, 171 m, and 175 m are 171.5 × 10⁸ m³, 228.0 × 10⁸ m³, 353.5 × 10⁸ m³, and 393.0 × 10⁸ m³, respectively. Therefore, the flood-control storage capacity between 145 m and 175 m is 221.5 × 10⁸ m³, which is consistent with the flood-control storage specified in the current operation rules. Specifically, the storage capacity in the 145–155 m water-level range is 56.5 × 10⁸ m³, accounting for 25.5% of the total flood-control storage; that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is 125.483 × 10⁸ m³, accounting for 56.7%; and that in the 171–175 m range is 39.517 × 10⁸ m³, accounting for 17.8%. Therefore, 155 m represents the boundary between the low-water-level compensatory regulation zone and the main flood-control regulation zone.</w:t>
      </w:r>
    </w:p>
    <w:p w14:paraId="2DEB5261">
      <w:pPr>
        <w:pStyle w:val="34"/>
        <w:ind w:left="0" w:firstLine="400" w:firstLineChars="200"/>
        <w:rPr>
          <w:rFonts w:ascii="Times New Roman" w:hAnsi="Times New Roman" w:eastAsiaTheme="minorEastAsia"/>
          <w:color w:val="auto"/>
          <w:lang w:eastAsia="zh-CN"/>
        </w:rPr>
      </w:pPr>
    </w:p>
    <w:p w14:paraId="37C41819">
      <w:pPr>
        <w:ind w:firstLine="480"/>
        <w:jc w:val="center"/>
        <w:rPr>
          <w:rFonts w:ascii="Times New Roman" w:hAnsi="Times New Roman" w:eastAsia="黑体"/>
          <w:color w:val="auto"/>
        </w:rPr>
      </w:pPr>
      <w:r>
        <w:rPr>
          <w:rFonts w:ascii="Times New Roman" w:hAnsi="Times New Roman" w:eastAsia="黑体"/>
          <w:color w:val="auto"/>
        </w:rPr>
        <w:t>Table 3 Storage capacity and marginal storage characteristics of key water-level ranges in Three Gorges Reservoir</w:t>
      </w:r>
    </w:p>
    <w:tbl>
      <w:tblPr>
        <w:tblStyle w:val="13"/>
        <w:tblW w:w="5000" w:type="pct"/>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96"/>
        <w:gridCol w:w="2187"/>
        <w:gridCol w:w="2765"/>
        <w:gridCol w:w="1974"/>
      </w:tblGrid>
      <w:tr w14:paraId="226CC0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7" w:type="pct"/>
            <w:tcBorders>
              <w:top w:val="single" w:color="auto" w:sz="4" w:space="0"/>
              <w:bottom w:val="single" w:color="auto" w:sz="4" w:space="0"/>
            </w:tcBorders>
            <w:vAlign w:val="center"/>
          </w:tcPr>
          <w:p w14:paraId="78DD4E25">
            <w:pPr>
              <w:spacing w:line="240" w:lineRule="auto"/>
              <w:jc w:val="center"/>
              <w:rPr>
                <w:rFonts w:ascii="Times New Roman" w:hAnsi="Times New Roman" w:eastAsia="黑体"/>
                <w:color w:val="auto"/>
                <w:sz w:val="21"/>
                <w:szCs w:val="21"/>
              </w:rPr>
            </w:pPr>
            <w:r>
              <w:rPr>
                <w:rFonts w:ascii="Times New Roman" w:hAnsi="Times New Roman" w:eastAsia="黑体"/>
                <w:color w:val="auto"/>
                <w:sz w:val="21"/>
                <w:szCs w:val="21"/>
              </w:rPr>
              <w:t>Water-level range</w:t>
            </w:r>
          </w:p>
        </w:tc>
        <w:tc>
          <w:tcPr>
            <w:tcW w:w="1283" w:type="pct"/>
            <w:tcBorders>
              <w:top w:val="single" w:color="auto" w:sz="4" w:space="0"/>
              <w:bottom w:val="single" w:color="auto" w:sz="4" w:space="0"/>
            </w:tcBorders>
            <w:vAlign w:val="center"/>
          </w:tcPr>
          <w:p w14:paraId="5D0BE431">
            <w:pPr>
              <w:spacing w:line="240" w:lineRule="auto"/>
              <w:jc w:val="center"/>
              <w:rPr>
                <w:rFonts w:ascii="Times New Roman" w:hAnsi="Times New Roman" w:eastAsia="黑体"/>
                <w:color w:val="auto"/>
                <w:sz w:val="21"/>
                <w:szCs w:val="21"/>
              </w:rPr>
            </w:pPr>
            <w:r>
              <w:rPr>
                <w:rFonts w:ascii="Times New Roman" w:hAnsi="Times New Roman" w:eastAsia="黑体"/>
                <w:color w:val="auto"/>
                <w:sz w:val="21"/>
                <w:szCs w:val="21"/>
              </w:rPr>
              <w:t>Storage increment</w:t>
            </w:r>
          </w:p>
          <w:p w14:paraId="2C3E044B">
            <w:pPr>
              <w:spacing w:line="240" w:lineRule="auto"/>
              <w:jc w:val="center"/>
              <w:rPr>
                <w:rFonts w:ascii="Times New Roman" w:hAnsi="Times New Roman" w:eastAsia="黑体"/>
                <w:color w:val="auto"/>
                <w:sz w:val="21"/>
                <w:szCs w:val="21"/>
              </w:rPr>
            </w:pPr>
            <w:r>
              <w:rPr>
                <w:rFonts w:hint="eastAsia" w:ascii="Times New Roman" w:hAnsi="Times New Roman" w:eastAsia="黑体"/>
                <w:color w:val="auto"/>
                <w:sz w:val="21"/>
                <w:szCs w:val="21"/>
              </w:rPr>
              <w:t>/</w:t>
            </w:r>
            <w:r>
              <w:rPr>
                <w:rFonts w:ascii="Times New Roman" w:hAnsi="Times New Roman" w:eastAsia="黑体"/>
                <w:color w:val="auto"/>
                <w:sz w:val="21"/>
                <w:szCs w:val="21"/>
              </w:rPr>
              <w:t>10⁸ m</w:t>
            </w:r>
            <w:r>
              <w:rPr>
                <w:rFonts w:ascii="Times New Roman" w:hAnsi="Times New Roman" w:eastAsia="黑体"/>
                <w:color w:val="auto"/>
                <w:sz w:val="21"/>
                <w:szCs w:val="21"/>
                <w:vertAlign w:val="superscript"/>
              </w:rPr>
              <w:t>3</w:t>
            </w:r>
          </w:p>
        </w:tc>
        <w:tc>
          <w:tcPr>
            <w:tcW w:w="1622" w:type="pct"/>
            <w:tcBorders>
              <w:top w:val="single" w:color="auto" w:sz="4" w:space="0"/>
              <w:bottom w:val="single" w:color="auto" w:sz="4" w:space="0"/>
            </w:tcBorders>
            <w:vAlign w:val="center"/>
          </w:tcPr>
          <w:p w14:paraId="62377893">
            <w:pPr>
              <w:spacing w:line="240" w:lineRule="auto"/>
              <w:jc w:val="center"/>
              <w:rPr>
                <w:rFonts w:ascii="Times New Roman" w:hAnsi="Times New Roman" w:eastAsia="黑体"/>
                <w:color w:val="auto"/>
                <w:sz w:val="21"/>
                <w:szCs w:val="21"/>
              </w:rPr>
            </w:pPr>
            <w:r>
              <w:rPr>
                <w:rFonts w:ascii="Times New Roman" w:hAnsi="Times New Roman" w:eastAsia="黑体"/>
                <w:color w:val="auto"/>
                <w:sz w:val="21"/>
                <w:szCs w:val="21"/>
              </w:rPr>
              <w:t xml:space="preserve">Percentage of 145–175 m flood-control storage </w:t>
            </w:r>
            <w:r>
              <w:rPr>
                <w:rFonts w:hint="eastAsia" w:ascii="Times New Roman" w:hAnsi="Times New Roman" w:eastAsia="黑体"/>
                <w:color w:val="auto"/>
                <w:sz w:val="21"/>
                <w:szCs w:val="21"/>
              </w:rPr>
              <w:t>/</w:t>
            </w:r>
            <w:r>
              <w:rPr>
                <w:rFonts w:ascii="Times New Roman" w:hAnsi="Times New Roman" w:eastAsia="黑体"/>
                <w:color w:val="auto"/>
                <w:sz w:val="21"/>
                <w:szCs w:val="21"/>
              </w:rPr>
              <w:t>%</w:t>
            </w:r>
          </w:p>
        </w:tc>
        <w:tc>
          <w:tcPr>
            <w:tcW w:w="1158" w:type="pct"/>
            <w:tcBorders>
              <w:top w:val="single" w:color="auto" w:sz="4" w:space="0"/>
              <w:bottom w:val="single" w:color="auto" w:sz="4" w:space="0"/>
            </w:tcBorders>
            <w:vAlign w:val="center"/>
          </w:tcPr>
          <w:p w14:paraId="05199C9D">
            <w:pPr>
              <w:spacing w:line="240" w:lineRule="auto"/>
              <w:jc w:val="center"/>
              <w:rPr>
                <w:rFonts w:ascii="Times New Roman" w:hAnsi="Times New Roman" w:eastAsia="黑体"/>
                <w:color w:val="auto"/>
                <w:sz w:val="21"/>
                <w:szCs w:val="21"/>
              </w:rPr>
            </w:pPr>
            <w:r>
              <w:rPr>
                <w:rFonts w:ascii="Times New Roman" w:hAnsi="Times New Roman" w:eastAsia="黑体"/>
                <w:color w:val="auto"/>
                <w:sz w:val="21"/>
                <w:szCs w:val="21"/>
              </w:rPr>
              <w:t>Marginal storage</w:t>
            </w:r>
          </w:p>
          <w:p w14:paraId="4299D427">
            <w:pPr>
              <w:spacing w:line="240" w:lineRule="auto"/>
              <w:jc w:val="center"/>
              <w:rPr>
                <w:rFonts w:ascii="Times New Roman" w:hAnsi="Times New Roman" w:eastAsia="黑体"/>
                <w:color w:val="auto"/>
                <w:sz w:val="21"/>
                <w:szCs w:val="21"/>
              </w:rPr>
            </w:pPr>
            <w:r>
              <w:rPr>
                <w:rFonts w:hint="eastAsia" w:ascii="Times New Roman" w:hAnsi="Times New Roman" w:eastAsia="黑体"/>
                <w:color w:val="auto"/>
                <w:sz w:val="21"/>
                <w:szCs w:val="21"/>
              </w:rPr>
              <w:t>/</w:t>
            </w:r>
            <w:r>
              <w:rPr>
                <w:rFonts w:ascii="Times New Roman" w:hAnsi="Times New Roman" w:eastAsia="黑体"/>
                <w:color w:val="auto"/>
                <w:sz w:val="21"/>
                <w:szCs w:val="21"/>
              </w:rPr>
              <w:t>10⁸ m³</w:t>
            </w:r>
            <w:r>
              <w:rPr>
                <w:rFonts w:hint="eastAsia" w:ascii="Times New Roman" w:hAnsi="Times New Roman" w:eastAsia="黑体"/>
                <w:color w:val="auto"/>
                <w:sz w:val="21"/>
                <w:szCs w:val="21"/>
              </w:rPr>
              <w:t>·</w:t>
            </w:r>
            <w:r>
              <w:rPr>
                <w:rFonts w:ascii="Times New Roman" w:hAnsi="Times New Roman" w:eastAsia="黑体"/>
                <w:color w:val="auto"/>
                <w:sz w:val="21"/>
                <w:szCs w:val="21"/>
              </w:rPr>
              <w:t>m</w:t>
            </w:r>
            <w:r>
              <w:rPr>
                <w:rFonts w:hint="eastAsia" w:ascii="Times New Roman" w:hAnsi="Times New Roman" w:eastAsia="黑体"/>
                <w:color w:val="auto"/>
                <w:sz w:val="21"/>
                <w:szCs w:val="21"/>
                <w:vertAlign w:val="superscript"/>
              </w:rPr>
              <w:t>-1</w:t>
            </w:r>
          </w:p>
        </w:tc>
      </w:tr>
      <w:tr w14:paraId="135815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7" w:type="pct"/>
            <w:tcBorders>
              <w:top w:val="single" w:color="auto" w:sz="4" w:space="0"/>
            </w:tcBorders>
            <w:vAlign w:val="center"/>
          </w:tcPr>
          <w:p w14:paraId="4132E984">
            <w:pPr>
              <w:spacing w:line="240" w:lineRule="auto"/>
              <w:jc w:val="center"/>
              <w:rPr>
                <w:rFonts w:ascii="Times New Roman" w:hAnsi="Times New Roman"/>
                <w:color w:val="auto"/>
              </w:rPr>
            </w:pPr>
            <w:r>
              <w:rPr>
                <w:rFonts w:ascii="Times New Roman" w:hAnsi="Times New Roman"/>
                <w:color w:val="auto"/>
              </w:rPr>
              <w:t>145-155 m</w:t>
            </w:r>
          </w:p>
        </w:tc>
        <w:tc>
          <w:tcPr>
            <w:tcW w:w="1283" w:type="pct"/>
            <w:tcBorders>
              <w:top w:val="single" w:color="auto" w:sz="4" w:space="0"/>
            </w:tcBorders>
            <w:vAlign w:val="center"/>
          </w:tcPr>
          <w:p w14:paraId="5935527B">
            <w:pPr>
              <w:spacing w:line="240" w:lineRule="auto"/>
              <w:jc w:val="center"/>
              <w:rPr>
                <w:rFonts w:ascii="Times New Roman" w:hAnsi="Times New Roman"/>
                <w:color w:val="auto"/>
              </w:rPr>
            </w:pPr>
            <w:r>
              <w:rPr>
                <w:rFonts w:ascii="Times New Roman" w:hAnsi="Times New Roman"/>
                <w:color w:val="auto"/>
              </w:rPr>
              <w:t>56.50</w:t>
            </w:r>
          </w:p>
        </w:tc>
        <w:tc>
          <w:tcPr>
            <w:tcW w:w="1622" w:type="pct"/>
            <w:tcBorders>
              <w:top w:val="single" w:color="auto" w:sz="4" w:space="0"/>
            </w:tcBorders>
            <w:vAlign w:val="center"/>
          </w:tcPr>
          <w:p w14:paraId="6DAA173E">
            <w:pPr>
              <w:spacing w:line="240" w:lineRule="auto"/>
              <w:jc w:val="center"/>
              <w:rPr>
                <w:rFonts w:ascii="Times New Roman" w:hAnsi="Times New Roman"/>
                <w:color w:val="auto"/>
              </w:rPr>
            </w:pPr>
            <w:r>
              <w:rPr>
                <w:rFonts w:hint="eastAsia" w:ascii="Times New Roman" w:hAnsi="Times New Roman"/>
                <w:color w:val="auto"/>
              </w:rPr>
              <w:t>25.5</w:t>
            </w:r>
          </w:p>
        </w:tc>
        <w:tc>
          <w:tcPr>
            <w:tcW w:w="1158" w:type="pct"/>
            <w:tcBorders>
              <w:top w:val="single" w:color="auto" w:sz="4" w:space="0"/>
            </w:tcBorders>
            <w:vAlign w:val="center"/>
          </w:tcPr>
          <w:p w14:paraId="314A8835">
            <w:pPr>
              <w:spacing w:line="240" w:lineRule="auto"/>
              <w:jc w:val="center"/>
              <w:rPr>
                <w:rFonts w:ascii="Times New Roman" w:hAnsi="Times New Roman"/>
                <w:color w:val="auto"/>
              </w:rPr>
            </w:pPr>
            <w:r>
              <w:rPr>
                <w:rFonts w:hint="eastAsia" w:ascii="Times New Roman" w:hAnsi="Times New Roman"/>
                <w:color w:val="auto"/>
              </w:rPr>
              <w:t>5.65</w:t>
            </w:r>
          </w:p>
        </w:tc>
      </w:tr>
      <w:tr w14:paraId="4EDCDD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7" w:type="pct"/>
            <w:vAlign w:val="center"/>
          </w:tcPr>
          <w:p w14:paraId="3534E4DD">
            <w:pPr>
              <w:spacing w:line="240" w:lineRule="auto"/>
              <w:jc w:val="center"/>
              <w:rPr>
                <w:rFonts w:ascii="Times New Roman" w:hAnsi="Times New Roman"/>
                <w:color w:val="auto"/>
              </w:rPr>
            </w:pPr>
            <w:r>
              <w:rPr>
                <w:rFonts w:ascii="Times New Roman" w:hAnsi="Times New Roman"/>
                <w:color w:val="auto"/>
              </w:rPr>
              <w:t>155-171 m</w:t>
            </w:r>
          </w:p>
        </w:tc>
        <w:tc>
          <w:tcPr>
            <w:tcW w:w="1283" w:type="pct"/>
            <w:vAlign w:val="center"/>
          </w:tcPr>
          <w:p w14:paraId="493CC23C">
            <w:pPr>
              <w:spacing w:line="240" w:lineRule="auto"/>
              <w:jc w:val="center"/>
              <w:rPr>
                <w:rFonts w:ascii="Times New Roman" w:hAnsi="Times New Roman"/>
                <w:color w:val="auto"/>
              </w:rPr>
            </w:pPr>
            <w:r>
              <w:rPr>
                <w:rFonts w:ascii="Times New Roman" w:hAnsi="Times New Roman"/>
                <w:color w:val="auto"/>
              </w:rPr>
              <w:t>125.48</w:t>
            </w:r>
          </w:p>
        </w:tc>
        <w:tc>
          <w:tcPr>
            <w:tcW w:w="1622" w:type="pct"/>
            <w:vAlign w:val="center"/>
          </w:tcPr>
          <w:p w14:paraId="3AF44A5E">
            <w:pPr>
              <w:spacing w:line="240" w:lineRule="auto"/>
              <w:jc w:val="center"/>
              <w:rPr>
                <w:rFonts w:ascii="Times New Roman" w:hAnsi="Times New Roman"/>
                <w:color w:val="auto"/>
              </w:rPr>
            </w:pPr>
            <w:r>
              <w:rPr>
                <w:rFonts w:hint="eastAsia" w:ascii="Times New Roman" w:hAnsi="Times New Roman"/>
                <w:color w:val="auto"/>
              </w:rPr>
              <w:t>56.7</w:t>
            </w:r>
          </w:p>
        </w:tc>
        <w:tc>
          <w:tcPr>
            <w:tcW w:w="1158" w:type="pct"/>
            <w:vAlign w:val="center"/>
          </w:tcPr>
          <w:p w14:paraId="48D5D86E">
            <w:pPr>
              <w:spacing w:line="240" w:lineRule="auto"/>
              <w:jc w:val="center"/>
              <w:rPr>
                <w:rFonts w:ascii="Times New Roman" w:hAnsi="Times New Roman"/>
                <w:color w:val="auto"/>
              </w:rPr>
            </w:pPr>
            <w:r>
              <w:rPr>
                <w:rFonts w:hint="eastAsia" w:ascii="Times New Roman" w:hAnsi="Times New Roman"/>
                <w:color w:val="auto"/>
              </w:rPr>
              <w:t>7.84</w:t>
            </w:r>
          </w:p>
        </w:tc>
      </w:tr>
      <w:tr w14:paraId="10BBA73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jc w:val="center"/>
        </w:trPr>
        <w:tc>
          <w:tcPr>
            <w:tcW w:w="937" w:type="pct"/>
            <w:vAlign w:val="center"/>
          </w:tcPr>
          <w:p w14:paraId="0A28C81E">
            <w:pPr>
              <w:spacing w:line="240" w:lineRule="auto"/>
              <w:jc w:val="center"/>
              <w:rPr>
                <w:rFonts w:ascii="Times New Roman" w:hAnsi="Times New Roman"/>
                <w:color w:val="auto"/>
              </w:rPr>
            </w:pPr>
            <w:r>
              <w:rPr>
                <w:rFonts w:ascii="Times New Roman" w:hAnsi="Times New Roman"/>
                <w:color w:val="auto"/>
              </w:rPr>
              <w:t>171-175 m</w:t>
            </w:r>
          </w:p>
        </w:tc>
        <w:tc>
          <w:tcPr>
            <w:tcW w:w="1283" w:type="pct"/>
            <w:vAlign w:val="center"/>
          </w:tcPr>
          <w:p w14:paraId="5991EEFA">
            <w:pPr>
              <w:spacing w:line="240" w:lineRule="auto"/>
              <w:jc w:val="center"/>
              <w:rPr>
                <w:rFonts w:ascii="Times New Roman" w:hAnsi="Times New Roman"/>
                <w:color w:val="auto"/>
              </w:rPr>
            </w:pPr>
            <w:r>
              <w:rPr>
                <w:rFonts w:ascii="Times New Roman" w:hAnsi="Times New Roman"/>
                <w:color w:val="auto"/>
              </w:rPr>
              <w:t>39.52</w:t>
            </w:r>
          </w:p>
        </w:tc>
        <w:tc>
          <w:tcPr>
            <w:tcW w:w="1622" w:type="pct"/>
            <w:vAlign w:val="center"/>
          </w:tcPr>
          <w:p w14:paraId="4E89E2FB">
            <w:pPr>
              <w:spacing w:line="240" w:lineRule="auto"/>
              <w:jc w:val="center"/>
              <w:rPr>
                <w:rFonts w:ascii="Times New Roman" w:hAnsi="Times New Roman"/>
                <w:color w:val="auto"/>
              </w:rPr>
            </w:pPr>
            <w:r>
              <w:rPr>
                <w:rFonts w:hint="eastAsia" w:ascii="Times New Roman" w:hAnsi="Times New Roman"/>
                <w:color w:val="auto"/>
              </w:rPr>
              <w:t>17.8</w:t>
            </w:r>
          </w:p>
        </w:tc>
        <w:tc>
          <w:tcPr>
            <w:tcW w:w="1158" w:type="pct"/>
            <w:vAlign w:val="center"/>
          </w:tcPr>
          <w:p w14:paraId="1AD5A22F">
            <w:pPr>
              <w:spacing w:line="240" w:lineRule="auto"/>
              <w:jc w:val="center"/>
              <w:rPr>
                <w:rFonts w:ascii="Times New Roman" w:hAnsi="Times New Roman"/>
                <w:color w:val="auto"/>
              </w:rPr>
            </w:pPr>
            <w:r>
              <w:rPr>
                <w:rFonts w:hint="eastAsia" w:ascii="Times New Roman" w:hAnsi="Times New Roman"/>
                <w:color w:val="auto"/>
              </w:rPr>
              <w:t>9.88</w:t>
            </w:r>
          </w:p>
        </w:tc>
      </w:tr>
      <w:tr w14:paraId="0A30F5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937" w:type="pct"/>
            <w:vAlign w:val="center"/>
          </w:tcPr>
          <w:p w14:paraId="0A0B918D">
            <w:pPr>
              <w:spacing w:line="240" w:lineRule="auto"/>
              <w:jc w:val="center"/>
              <w:rPr>
                <w:rFonts w:ascii="Times New Roman" w:hAnsi="Times New Roman"/>
                <w:color w:val="auto"/>
              </w:rPr>
            </w:pPr>
            <w:r>
              <w:rPr>
                <w:rFonts w:ascii="Times New Roman" w:hAnsi="Times New Roman"/>
                <w:color w:val="auto"/>
              </w:rPr>
              <w:t>145-175 m</w:t>
            </w:r>
          </w:p>
        </w:tc>
        <w:tc>
          <w:tcPr>
            <w:tcW w:w="1283" w:type="pct"/>
            <w:vAlign w:val="center"/>
          </w:tcPr>
          <w:p w14:paraId="78DB7F26">
            <w:pPr>
              <w:spacing w:line="240" w:lineRule="auto"/>
              <w:jc w:val="center"/>
              <w:rPr>
                <w:rFonts w:ascii="Times New Roman" w:hAnsi="Times New Roman"/>
                <w:color w:val="auto"/>
              </w:rPr>
            </w:pPr>
            <w:r>
              <w:rPr>
                <w:rFonts w:ascii="Times New Roman" w:hAnsi="Times New Roman"/>
                <w:color w:val="auto"/>
              </w:rPr>
              <w:t>221.50</w:t>
            </w:r>
          </w:p>
        </w:tc>
        <w:tc>
          <w:tcPr>
            <w:tcW w:w="1622" w:type="pct"/>
            <w:vAlign w:val="center"/>
          </w:tcPr>
          <w:p w14:paraId="17A9C619">
            <w:pPr>
              <w:spacing w:line="240" w:lineRule="auto"/>
              <w:jc w:val="center"/>
              <w:rPr>
                <w:rFonts w:ascii="Times New Roman" w:hAnsi="Times New Roman"/>
                <w:color w:val="auto"/>
              </w:rPr>
            </w:pPr>
            <w:r>
              <w:rPr>
                <w:rFonts w:hint="eastAsia" w:ascii="Times New Roman" w:hAnsi="Times New Roman"/>
                <w:color w:val="auto"/>
              </w:rPr>
              <w:t>100.0</w:t>
            </w:r>
          </w:p>
        </w:tc>
        <w:tc>
          <w:tcPr>
            <w:tcW w:w="1158" w:type="pct"/>
            <w:vAlign w:val="center"/>
          </w:tcPr>
          <w:p w14:paraId="67217922">
            <w:pPr>
              <w:spacing w:line="240" w:lineRule="auto"/>
              <w:jc w:val="center"/>
              <w:rPr>
                <w:rFonts w:ascii="Times New Roman" w:hAnsi="Times New Roman"/>
                <w:color w:val="auto"/>
              </w:rPr>
            </w:pPr>
            <w:r>
              <w:rPr>
                <w:rFonts w:hint="eastAsia" w:ascii="Times New Roman" w:hAnsi="Times New Roman"/>
                <w:color w:val="auto"/>
              </w:rPr>
              <w:t>7.38</w:t>
            </w:r>
          </w:p>
        </w:tc>
      </w:tr>
    </w:tbl>
    <w:p w14:paraId="133B9C4B">
      <w:pPr>
        <w:pStyle w:val="34"/>
        <w:ind w:left="0" w:firstLine="400" w:firstLineChars="200"/>
        <w:rPr>
          <w:rFonts w:ascii="Times New Roman" w:hAnsi="Times New Roman" w:eastAsiaTheme="minorEastAsia"/>
          <w:color w:val="auto"/>
          <w:lang w:eastAsia="zh-CN"/>
        </w:rPr>
      </w:pPr>
    </w:p>
    <w:p w14:paraId="70E798E6">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The variation in marginal storage further clarifies the risk implication of the 155 m threshold. The average marginal storage in the 145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155 m range is approximately 5.65 × 10⁸ m³/m, whereas that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 xml:space="preserve">171 m range increases to approximately 7.84 × 10⁸ m³/m, representing an increase of about 38.8%. This indicates that each 1 m rise in water level above 155 m corresponds to a larger occupation of storage capacity. More importantly, however, the occupied storage is no longer the low-water-level compensatory regulation space, but the main flood-control regulation zone on which subsequent large-flood regulation depends. In other words, once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exceeds 155 m, the core flood-regulation space available for subsequent floods is consumed in advance, making the reservoir more likely to enter the high-water-level control stage above 171 m or the large-discharge release stage.</w:t>
      </w:r>
    </w:p>
    <w:p w14:paraId="7FE19D79">
      <w:pPr>
        <w:spacing w:line="240" w:lineRule="auto"/>
        <w:ind w:firstLine="480"/>
        <w:jc w:val="center"/>
        <w:rPr>
          <w:rFonts w:ascii="Times New Roman" w:hAnsi="Times New Roman"/>
          <w:color w:val="auto"/>
        </w:rPr>
      </w:pPr>
      <w:r>
        <w:rPr>
          <w:rFonts w:ascii="Times New Roman" w:hAnsi="Times New Roman"/>
          <w:color w:val="auto"/>
        </w:rPr>
        <w:drawing>
          <wp:inline distT="0" distB="0" distL="0" distR="0">
            <wp:extent cx="3599815" cy="2755265"/>
            <wp:effectExtent l="0" t="0" r="635" b="6985"/>
            <wp:docPr id="6707820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2084" name="图片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3600000" cy="2755898"/>
                    </a:xfrm>
                    <a:prstGeom prst="rect">
                      <a:avLst/>
                    </a:prstGeom>
                    <a:noFill/>
                    <a:ln>
                      <a:noFill/>
                    </a:ln>
                  </pic:spPr>
                </pic:pic>
              </a:graphicData>
            </a:graphic>
          </wp:inline>
        </w:drawing>
      </w:r>
    </w:p>
    <w:p w14:paraId="0D6316C8">
      <w:pPr>
        <w:ind w:firstLine="420"/>
        <w:jc w:val="center"/>
        <w:rPr>
          <w:rFonts w:ascii="Times New Roman" w:hAnsi="Times New Roman" w:eastAsia="黑体"/>
          <w:color w:val="auto"/>
          <w:sz w:val="21"/>
          <w:szCs w:val="21"/>
        </w:rPr>
      </w:pPr>
      <w:r>
        <w:rPr>
          <w:rFonts w:hint="eastAsia" w:ascii="Times New Roman" w:hAnsi="Times New Roman" w:eastAsia="黑体"/>
          <w:color w:val="auto"/>
          <w:sz w:val="21"/>
          <w:szCs w:val="21"/>
        </w:rPr>
        <w:t xml:space="preserve">Fig. </w:t>
      </w:r>
      <w:r>
        <w:rPr>
          <w:rFonts w:ascii="Times New Roman" w:hAnsi="Times New Roman" w:eastAsia="黑体"/>
          <w:color w:val="auto"/>
          <w:sz w:val="21"/>
          <w:szCs w:val="21"/>
        </w:rPr>
        <w:t>1</w:t>
      </w:r>
      <w:r>
        <w:rPr>
          <w:rFonts w:hint="eastAsia" w:ascii="Times New Roman" w:hAnsi="Times New Roman" w:eastAsia="黑体"/>
          <w:color w:val="auto"/>
          <w:sz w:val="21"/>
          <w:szCs w:val="21"/>
        </w:rPr>
        <w:t>4</w:t>
      </w:r>
      <w:r>
        <w:rPr>
          <w:rFonts w:ascii="Times New Roman" w:hAnsi="Times New Roman" w:eastAsia="黑体"/>
          <w:color w:val="auto"/>
          <w:sz w:val="21"/>
          <w:szCs w:val="21"/>
        </w:rPr>
        <w:t xml:space="preserve">  Water level</w:t>
      </w:r>
      <w:r>
        <w:rPr>
          <w:rFonts w:hint="eastAsia" w:ascii="Times New Roman" w:hAnsi="Times New Roman" w:eastAsia="黑体"/>
          <w:color w:val="auto"/>
          <w:sz w:val="21"/>
          <w:szCs w:val="21"/>
        </w:rPr>
        <w:t>-</w:t>
      </w:r>
      <w:r>
        <w:rPr>
          <w:rFonts w:ascii="Times New Roman" w:hAnsi="Times New Roman" w:eastAsia="黑体"/>
          <w:color w:val="auto"/>
          <w:sz w:val="21"/>
          <w:szCs w:val="21"/>
        </w:rPr>
        <w:t>storage capacity curve of Three Gorges Reservoir and variation in marginal storage</w:t>
      </w:r>
    </w:p>
    <w:p w14:paraId="2D6DB8D2">
      <w:pPr>
        <w:ind w:firstLine="420"/>
        <w:jc w:val="center"/>
        <w:rPr>
          <w:rFonts w:ascii="Times New Roman" w:hAnsi="Times New Roman" w:eastAsia="黑体"/>
          <w:color w:val="auto"/>
          <w:sz w:val="21"/>
          <w:szCs w:val="21"/>
        </w:rPr>
      </w:pPr>
      <w:r>
        <w:rPr>
          <w:rFonts w:ascii="Times New Roman" w:hAnsi="Times New Roman" w:eastAsia="黑体"/>
          <w:color w:val="auto"/>
          <w:sz w:val="21"/>
          <w:szCs w:val="21"/>
        </w:rPr>
        <w:t>图1</w:t>
      </w:r>
      <w:r>
        <w:rPr>
          <w:rFonts w:hint="eastAsia" w:ascii="Times New Roman" w:hAnsi="Times New Roman" w:eastAsia="黑体"/>
          <w:color w:val="auto"/>
          <w:sz w:val="21"/>
          <w:szCs w:val="21"/>
        </w:rPr>
        <w:t>4</w:t>
      </w:r>
      <w:r>
        <w:rPr>
          <w:rFonts w:ascii="Times New Roman" w:hAnsi="Times New Roman" w:eastAsia="黑体"/>
          <w:color w:val="auto"/>
          <w:sz w:val="21"/>
          <w:szCs w:val="21"/>
        </w:rPr>
        <w:t xml:space="preserve"> 三峡水库水位</w:t>
      </w:r>
      <w:r>
        <w:rPr>
          <w:rFonts w:hint="eastAsia" w:ascii="Times New Roman" w:hAnsi="Times New Roman" w:eastAsia="黑体"/>
          <w:color w:val="auto"/>
          <w:sz w:val="21"/>
          <w:szCs w:val="21"/>
        </w:rPr>
        <w:t>-</w:t>
      </w:r>
      <w:r>
        <w:rPr>
          <w:rFonts w:ascii="Times New Roman" w:hAnsi="Times New Roman" w:eastAsia="黑体"/>
          <w:color w:val="auto"/>
          <w:sz w:val="21"/>
          <w:szCs w:val="21"/>
        </w:rPr>
        <w:t>库容曲线</w:t>
      </w:r>
      <w:r>
        <w:rPr>
          <w:rFonts w:hint="eastAsia" w:ascii="Times New Roman" w:hAnsi="Times New Roman" w:eastAsia="黑体"/>
          <w:color w:val="auto"/>
          <w:sz w:val="21"/>
          <w:szCs w:val="21"/>
        </w:rPr>
        <w:t>与边际库容变化</w:t>
      </w:r>
    </w:p>
    <w:p w14:paraId="655812AC">
      <w:pPr>
        <w:pStyle w:val="34"/>
        <w:ind w:left="0" w:firstLine="400" w:firstLineChars="200"/>
        <w:rPr>
          <w:rFonts w:ascii="Times New Roman" w:hAnsi="Times New Roman" w:eastAsiaTheme="minorEastAsia"/>
          <w:color w:val="auto"/>
          <w:lang w:eastAsia="zh-CN"/>
        </w:rPr>
      </w:pPr>
    </w:p>
    <w:p w14:paraId="7ED14E23">
      <w:pPr>
        <w:pStyle w:val="34"/>
        <w:ind w:left="0" w:firstLine="420" w:firstLineChars="200"/>
        <w:rPr>
          <w:rFonts w:ascii="Times New Roman" w:hAnsi="Times New Roman" w:eastAsiaTheme="minorEastAsia"/>
          <w:color w:val="auto"/>
          <w:sz w:val="21"/>
          <w:szCs w:val="21"/>
        </w:rPr>
      </w:pPr>
      <w:r>
        <w:rPr>
          <w:rFonts w:hint="eastAsia" w:ascii="Times New Roman" w:hAnsi="Times New Roman" w:eastAsiaTheme="minorEastAsia"/>
          <w:color w:val="auto"/>
          <w:sz w:val="21"/>
          <w:szCs w:val="21"/>
          <w:lang w:eastAsia="zh-CN"/>
        </w:rPr>
        <w:t xml:space="preserve">Fig. </w:t>
      </w:r>
      <w:r>
        <w:rPr>
          <w:rFonts w:ascii="Times New Roman" w:hAnsi="Times New Roman" w:eastAsiaTheme="minorEastAsia"/>
          <w:color w:val="auto"/>
          <w:sz w:val="21"/>
          <w:szCs w:val="21"/>
        </w:rPr>
        <w:t>1</w:t>
      </w:r>
      <w:r>
        <w:rPr>
          <w:rFonts w:hint="eastAsia" w:ascii="Times New Roman" w:hAnsi="Times New Roman" w:eastAsiaTheme="minorEastAsia"/>
          <w:color w:val="auto"/>
          <w:sz w:val="21"/>
          <w:szCs w:val="21"/>
          <w:lang w:eastAsia="zh-CN"/>
        </w:rPr>
        <w:t>4</w:t>
      </w:r>
      <w:r>
        <w:rPr>
          <w:rFonts w:ascii="Times New Roman" w:hAnsi="Times New Roman" w:eastAsiaTheme="minorEastAsia"/>
          <w:color w:val="auto"/>
          <w:sz w:val="21"/>
          <w:szCs w:val="21"/>
        </w:rPr>
        <w:t xml:space="preserve"> shows that the water level</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storage capacity relationship of the Three Gorges Reservoir exhibits distinct segmented characteristics. The three water-level ranges of 145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155 m,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and 171</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175 m correspond to different flood-control storage zones. Among them,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has the largest storage increment and serves as the main flood-control regulation space of the Three Gorges Reservoir. As the boundary water level between the low-water-level compensatory storage zone of 145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155 m and the main flood-control regulation storage zone of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 xml:space="preserve">171 m, 155 m has a clear implication in terms of storage stratification.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does not exceed 155 m, the reservoir still fully retains the main regulation storage in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 xml:space="preserve">171 m range, providing relatively sufficient space for subsequent flood regulation. When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exceeds 155 m, however, the main flood-control regulation storage is occupied in advance, and the remaining flood-regulation space is rapidly compressed. Consequently, the sensitivities of the maximum flood-regulation water level and excess flood volume to changes in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increase markedly. Therefore, the 155 m threshold is not only a response inflection point in flood-regulation calculations, but also has a clear physical basis in the water level–storage capacity relationship and the stratification of flood-control storage.</w:t>
      </w:r>
    </w:p>
    <w:p w14:paraId="3EAF8602">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Although the marginal storage capacity increases above 155 m, this does not necessarily reduce the sensitivity of the maximum regulated water level to the initial operating water level. The key factor is not only the local storage increment per unit water-level rise, but also the remaining effective flood-control storage under the prescribed operating rules. When the initial operating water level is not higher than 155 m, the reservoir still retains the full flood-control space in the 145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155 m range, which provides sufficient buffering capacity for the incoming flood. As a result, the maximum regulated water level is relatively insensitive to changes in the initial operating water level. Once the initial operating water level exceeds 155 m, part of the first-layer flood-control storage has already been occupied in advance, and the reservoir enters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regulated operating range earlier. Although the marginal storage in this range is larger, the remaining effective flood-control storage is reduced, and the release discharge is still constrained by the safe-release limit. Under these conditions, additional flood volume is more likely to be reflected in a rise in the regulated water level and increased downstream release pressure. Therefore, the sensitivity of the maximum regulated water level increases once the initial operating water level exceeds 155 m.</w:t>
      </w:r>
    </w:p>
    <w:p w14:paraId="6EB4C6C7">
      <w:pPr>
        <w:pStyle w:val="34"/>
        <w:ind w:left="0" w:firstLine="420" w:firstLineChars="200"/>
        <w:rPr>
          <w:rFonts w:ascii="Times New Roman" w:hAnsi="Times New Roman" w:eastAsiaTheme="minorEastAsia"/>
          <w:color w:val="auto"/>
          <w:sz w:val="21"/>
          <w:szCs w:val="21"/>
        </w:rPr>
      </w:pPr>
      <w:r>
        <w:rPr>
          <w:rFonts w:hint="eastAsia" w:ascii="Times New Roman" w:hAnsi="Times New Roman" w:eastAsiaTheme="minorEastAsia"/>
          <w:color w:val="auto"/>
          <w:sz w:val="21"/>
          <w:szCs w:val="21"/>
          <w:lang w:eastAsia="zh-CN"/>
        </w:rPr>
        <w:t>F</w:t>
      </w:r>
      <w:r>
        <w:rPr>
          <w:rFonts w:ascii="Times New Roman" w:hAnsi="Times New Roman" w:eastAsiaTheme="minorEastAsia"/>
          <w:color w:val="auto"/>
          <w:sz w:val="21"/>
          <w:szCs w:val="21"/>
        </w:rPr>
        <w:t xml:space="preserve">rom the perspective of basin-wide flood-control safety under large-flood conditions, 155 m has a clear boundary significance. Under conservative conditions that exclude forecast-based pre-release, controlling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xml:space="preserve"> at or below 155 m can maintain a relatively large safety margin for flood regulation. In contrast, when the operating water level is higher than 155 m, maintaining overall flood-control safety requires greater reliance on discharge capacity, inflow forecasting, and joint operation conditions.</w:t>
      </w:r>
    </w:p>
    <w:p w14:paraId="283AA825">
      <w:pPr>
        <w:pStyle w:val="34"/>
        <w:ind w:left="0" w:firstLine="420" w:firstLineChars="200"/>
        <w:rPr>
          <w:rFonts w:ascii="Times New Roman" w:hAnsi="Times New Roman" w:eastAsiaTheme="minorEastAsia"/>
          <w:color w:val="auto"/>
          <w:sz w:val="21"/>
          <w:szCs w:val="21"/>
          <w:lang w:eastAsia="zh-CN"/>
        </w:rPr>
      </w:pPr>
    </w:p>
    <w:p w14:paraId="6D5163D6">
      <w:pPr>
        <w:pStyle w:val="49"/>
        <w:spacing w:before="0" w:after="0" w:line="240" w:lineRule="auto"/>
        <w:ind w:left="0"/>
        <w:rPr>
          <w:rFonts w:ascii="Times New Roman" w:hAnsi="Times New Roman"/>
          <w:i w:val="0"/>
          <w:color w:val="auto"/>
        </w:rPr>
      </w:pPr>
      <w:r>
        <w:rPr>
          <w:rFonts w:ascii="Times New Roman" w:hAnsi="Times New Roman"/>
          <w:b/>
          <w:bCs/>
          <w:i w:val="0"/>
          <w:iCs/>
          <w:color w:val="auto"/>
          <w:sz w:val="21"/>
          <w:szCs w:val="21"/>
        </w:rPr>
        <w:t>4.2. Effect of Changes in Release Discharge on Basin Flood Control Safety</w:t>
      </w:r>
    </w:p>
    <w:p w14:paraId="6670051F">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The results show that, for a given initial operating water level, increasing the safe-release discharge generally helps reduce the maximum regulated water level, but its influence on excess flood volume depends much more strongly on flood frequency and operating scenario. Larger release discharge is therefore not always better. Instead, it redistributes pressure between in-reservoir flood storage and downstream flood conveyance, and its net effect depends on flood magnitude, operating range, and the stage of the regulation process.</w:t>
      </w:r>
    </w:p>
    <w:p w14:paraId="7281642E">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For the 1% design flood, increasing prescribed release limit in the 155-171 m range can substantially reduce the maximum regulated water level in some typical years and, in most cases, also reduce excess flood volume. This indicates that under such floods the TGR has not yet fully entered a state constrained by the high-water-level boundary and that a moderate increase in release discharge can convert part of the storage pressure within the reservoir into a controllable downstream flood-conveyance process. In other words, for the 1% design flood, the 155</w:t>
      </w:r>
      <w:r>
        <w:rPr>
          <w:rFonts w:hint="eastAsia" w:ascii="Times New Roman" w:hAnsi="Times New Roman" w:eastAsiaTheme="minorEastAsia"/>
          <w:color w:val="auto"/>
          <w:sz w:val="21"/>
          <w:szCs w:val="21"/>
          <w:lang w:eastAsia="zh-CN"/>
        </w:rPr>
        <w:t>-</w:t>
      </w:r>
      <w:r>
        <w:rPr>
          <w:rFonts w:ascii="Times New Roman" w:hAnsi="Times New Roman" w:eastAsiaTheme="minorEastAsia"/>
          <w:color w:val="auto"/>
          <w:sz w:val="21"/>
          <w:szCs w:val="21"/>
        </w:rPr>
        <w:t>171 m range is the key control zone, and increasing the safe-prescribed release limit in this range brings clear flood-control benefits.</w:t>
      </w:r>
    </w:p>
    <w:p w14:paraId="68ED2475">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As flood magnitude increases, however, optimization of release discharge shows different characteristics. Under the 0.1% and 0.01% design floods, the TGR is more likely to enter the 171-175 m operating range, and the regulation process becomes more dependent on prescribed release limit in this range. Increasing the upper release limit there can still reduce the maximum water level at the dam front for some typical years, but the response of excess flood volume is no longer monotonic: increases, decreases, and near-constant behavior may all occur. Under extreme floods, system risk is therefore governed not only by in-reservoir water level, but also by the coupled effects of high-water-level constrained operation, excess release demand, and downstream conveyance pressure. Increasing release discharge can relieve some in-reservoir high-water-level pressure, but it may also shift more risk downstream by altering the timing and magnitude of large releases.</w:t>
      </w:r>
    </w:p>
    <w:p w14:paraId="6C9C7DFC">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More generally, the effect of release discharge on basin flood-control safety has a clear boundary condition. The safe-prescribed release limit of the TGR is not equivalent to the structural maximum discharge capacity of the outlet works but is jointly constrained by downstream channel conveyance capacity and flood-control requirements</w:t>
      </w:r>
      <w:r>
        <w:rPr>
          <w:rFonts w:ascii="Times New Roman" w:hAnsi="Times New Roman" w:eastAsiaTheme="minorEastAsia"/>
          <w:color w:val="auto"/>
          <w:sz w:val="21"/>
          <w:szCs w:val="21"/>
          <w:vertAlign w:val="superscript"/>
        </w:rPr>
        <w:t>[1,11,36-39]</w:t>
      </w:r>
      <w:r>
        <w:rPr>
          <w:rFonts w:ascii="Times New Roman" w:hAnsi="Times New Roman" w:eastAsiaTheme="minorEastAsia"/>
          <w:color w:val="auto"/>
          <w:sz w:val="21"/>
          <w:szCs w:val="21"/>
        </w:rPr>
        <w:t>. Increasing release discharge within the range that can be safely conveyed downstream helps reduce in-reservoir flood-regulation pressure. If larger outflow is pursued without regard to the downstream flood-control boundary, however, reservoir risk may simply be transferred into downstream flood-conveyance risk, thereby weakening the overall flood-control benefit.</w:t>
      </w:r>
    </w:p>
    <w:p w14:paraId="4A9A1273">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An important implication of these results is that the focus of release-discharge optimization differs across operating ranges. For the 1% design flood, prescribed release limit in the 155-171 m range is the key variable affecting regulation performance; for the 0.1% and 0.01% floods, prescribed release limit in the 171-175 m range becomes more important. There is therefore no single optimal release rule applicable to all flood frequencies and flood processes. Instead, storage–release strategies should be adjusted according to flood magnitude and system operating state.</w:t>
      </w:r>
    </w:p>
    <w:p w14:paraId="13C2A0D1">
      <w:pPr>
        <w:pStyle w:val="34"/>
        <w:ind w:left="0" w:firstLine="420" w:firstLineChars="200"/>
        <w:rPr>
          <w:rFonts w:ascii="Times New Roman" w:hAnsi="Times New Roman" w:eastAsiaTheme="minorEastAsia"/>
          <w:color w:val="auto"/>
          <w:sz w:val="21"/>
          <w:szCs w:val="21"/>
        </w:rPr>
      </w:pPr>
    </w:p>
    <w:p w14:paraId="2CA04001">
      <w:pPr>
        <w:pStyle w:val="49"/>
        <w:spacing w:before="0" w:after="0" w:line="240" w:lineRule="auto"/>
        <w:ind w:left="0"/>
        <w:rPr>
          <w:rFonts w:ascii="Times New Roman" w:hAnsi="Times New Roman"/>
          <w:b/>
          <w:bCs/>
          <w:i w:val="0"/>
          <w:iCs/>
          <w:color w:val="auto"/>
          <w:sz w:val="21"/>
          <w:szCs w:val="21"/>
        </w:rPr>
      </w:pPr>
      <w:r>
        <w:rPr>
          <w:rFonts w:ascii="Times New Roman" w:hAnsi="Times New Roman"/>
          <w:b/>
          <w:bCs/>
          <w:i w:val="0"/>
          <w:iCs/>
          <w:color w:val="auto"/>
          <w:sz w:val="21"/>
          <w:szCs w:val="21"/>
        </w:rPr>
        <w:t>4.3. Optimization of Flood-Season Operation Rules for the Three Gorges Reservoir</w:t>
      </w:r>
    </w:p>
    <w:p w14:paraId="1AC4242F">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From the perspective of engineering application, the results of this study first define the intrinsic flood-control capacity boundary of the Three Gorges Reservoir under conditions that exclude forecast-based pre-release. Based on a comprehensive analysis of the maximum flood-regulation water level, excess flood volume, and water level–storage capacity curve, 155 m can be regarded as an important control water level for flood-season operation. This boundary provides a conservative safety baseline that complements previous studies on dynamic flood-limited water-level control, staged flood-season operation, and TGR operation schemes under changing flood-control demands </w:t>
      </w:r>
      <w:r>
        <w:rPr>
          <w:rFonts w:ascii="Times New Roman" w:hAnsi="Times New Roman" w:eastAsiaTheme="minorEastAsia"/>
          <w:color w:val="auto"/>
          <w:sz w:val="21"/>
          <w:szCs w:val="21"/>
          <w:vertAlign w:val="superscript"/>
        </w:rPr>
        <w:t>[20,21,26,30-35]</w:t>
      </w:r>
      <w:r>
        <w:rPr>
          <w:rFonts w:ascii="Times New Roman" w:hAnsi="Times New Roman" w:eastAsiaTheme="minorEastAsia"/>
          <w:color w:val="auto"/>
          <w:sz w:val="21"/>
          <w:szCs w:val="21"/>
        </w:rPr>
        <w:t xml:space="preserve">.When flood regulation starts at or below this level, the reservoir still fully retains the main flood-control regulation zone between 155 m and 171 m, and the maximum flood-regulation water level and excess flood volume are generally insensitive to changes in the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 When the operating water level exceeds 155 m, however, the main flood-control regulation space begins to be occupied in advance, leading to a marked increase in flood-control risk. Therefore, 155 m can serve as an engineering-interpretable conservative boundary for optimizing the flood-season operating water level of the Three Gorges Reservoir.</w:t>
      </w:r>
    </w:p>
    <w:p w14:paraId="71ACCCED">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It should be emphasized that this study does not quantify the flood-peak attenuation and peak-staggering benefits of upstream cascade reservoirs, nor does it conduct a sensitivity analysis of pre-release under different forecast lead times. Previous studies have shown that forecast information, staged flood-limited water levels, and coordinated operation of upstream cascade reservoirs can provide additional space for optimizing flood-season operation</w:t>
      </w:r>
      <w:r>
        <w:rPr>
          <w:rFonts w:ascii="Times New Roman" w:hAnsi="Times New Roman" w:eastAsiaTheme="minorEastAsia"/>
          <w:color w:val="auto"/>
          <w:sz w:val="21"/>
          <w:szCs w:val="21"/>
          <w:vertAlign w:val="superscript"/>
        </w:rPr>
        <w:t>[13-18,26-34]</w:t>
      </w:r>
      <w:r>
        <w:rPr>
          <w:rFonts w:ascii="Times New Roman" w:hAnsi="Times New Roman" w:eastAsiaTheme="minorEastAsia"/>
          <w:color w:val="auto"/>
          <w:sz w:val="21"/>
          <w:szCs w:val="21"/>
        </w:rPr>
        <w:t>.</w:t>
      </w:r>
      <w:r>
        <w:rPr>
          <w:rFonts w:hint="eastAsia" w:ascii="Times New Roman" w:hAnsi="Times New Roman" w:eastAsiaTheme="minorEastAsia"/>
          <w:color w:val="auto"/>
          <w:sz w:val="21"/>
          <w:szCs w:val="21"/>
          <w:lang w:eastAsia="zh-CN"/>
        </w:rPr>
        <w:t xml:space="preserve"> </w:t>
      </w:r>
      <w:r>
        <w:rPr>
          <w:rFonts w:ascii="Times New Roman" w:hAnsi="Times New Roman" w:eastAsiaTheme="minorEastAsia"/>
          <w:color w:val="auto"/>
          <w:sz w:val="21"/>
          <w:szCs w:val="21"/>
        </w:rPr>
        <w:t>Therefore, if the dynamic control range of the flood-season water level is to be further expanded in the future under joint operation or forecast-based pre-release conditions, a dedicated assessment should be conducted on the basis of the intrinsic capacity boundary identified in this study, with additional constraints such as upstream cascade operation, forecast uncertainty, forecast lead time, and real-time downstream flood-discharge capacity incorporated.</w:t>
      </w:r>
    </w:p>
    <w:p w14:paraId="0D3EA699">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In addition, the optimization of discharge remains a key issue in the flood-control operation of the Three Gorges Reservoir. The flood-control capacity of the Three Gorges Dam is ultimately constrained by the safe discharge, which in turn depends on the actual conveyance capacity of the downstream river channel. Therefore, subsequent operation optimization should not focus solely on the discharge capacity of the project itself, but should also account for inflow conditions and the downstream flood-control situation. The flood conveyance capacity of downstream river channels should be reviewed in a timely manner to accurately evaluate the safe upper limit of discharge from the Three Gorges Reservoir. Only when the downstream conveyance boundary is clearly defined can the optimization of discharge rules have a stable engineering basis.</w:t>
      </w:r>
    </w:p>
    <w:p w14:paraId="3789F0DB">
      <w:pPr>
        <w:pStyle w:val="34"/>
        <w:ind w:left="0" w:firstLine="420" w:firstLineChars="200"/>
        <w:rPr>
          <w:rFonts w:ascii="Times New Roman" w:hAnsi="Times New Roman" w:eastAsiaTheme="minorEastAsia"/>
          <w:color w:val="auto"/>
          <w:sz w:val="21"/>
          <w:szCs w:val="21"/>
        </w:rPr>
      </w:pPr>
    </w:p>
    <w:p w14:paraId="41E9E104">
      <w:pPr>
        <w:pStyle w:val="49"/>
        <w:spacing w:before="0" w:after="0" w:line="240" w:lineRule="auto"/>
        <w:ind w:left="0"/>
        <w:rPr>
          <w:rFonts w:ascii="Times New Roman" w:hAnsi="Times New Roman" w:eastAsiaTheme="minorEastAsia"/>
          <w:i w:val="0"/>
          <w:color w:val="auto"/>
          <w:sz w:val="21"/>
          <w:szCs w:val="21"/>
          <w:lang w:eastAsia="zh-CN"/>
        </w:rPr>
      </w:pPr>
      <w:r>
        <w:rPr>
          <w:rFonts w:hint="eastAsia" w:ascii="Times New Roman" w:hAnsi="Times New Roman"/>
          <w:b/>
          <w:bCs/>
          <w:i w:val="0"/>
          <w:iCs/>
          <w:color w:val="auto"/>
          <w:sz w:val="21"/>
          <w:szCs w:val="21"/>
        </w:rPr>
        <w:t>4.4</w:t>
      </w:r>
      <w:r>
        <w:rPr>
          <w:rFonts w:ascii="Times New Roman" w:hAnsi="Times New Roman"/>
          <w:b/>
          <w:bCs/>
          <w:i w:val="0"/>
          <w:iCs/>
          <w:color w:val="auto"/>
          <w:sz w:val="21"/>
          <w:szCs w:val="21"/>
        </w:rPr>
        <w:t xml:space="preserve"> Limitations and implications for future operation</w:t>
      </w:r>
    </w:p>
    <w:p w14:paraId="446A4007">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It should be noted that the 155 m threshold identified in this study should not be interpreted as an absolute and universally applicable safety limit. This threshold was obtained under a set of conservative assumptions, including the exclusion of joint operation with upstream cascade reservoirs and forecast-based pre-release. These assumptions were adopted to isolate the intrinsic flood-regulation capacity boundary of the Three Gorges Project under the prescribed operation rules and downstream release constraints. Therefore, the identified threshold represents a conservative reference boundary under the current model structure, design-flood assumptions, release rules, and boundary conditions.</w:t>
      </w:r>
    </w:p>
    <w:p w14:paraId="3B2723C3">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The exclusion of forecast-based pre-release is an important limitation of this study. In actual reservoir operation, if flood forecasts are sufficiently reliable and pre-release can be implemented in advance, part of the flood-control storage may be restored before the arrival of the flood. This would modify the relationship among the initial operating water level, remaining flood-control storage, maximum regulated water level, and excess flood volume. As a result, the acceptable operating-water-level boundary may differ from the conservative threshold identified here. Therefore, the results of this study should not be used as a direct substitute for dynamic flood-limited water-level operation that explicitly considers forecast information, forecast uncertainty, and real-time decision-making.</w:t>
      </w:r>
    </w:p>
    <w:p w14:paraId="6793B3CC">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Nevertheless, the conservative threshold identified in this study provides a useful safety basis for future research on dynamic reservoir operation. The 155 m boundary can serve as a benchmark for evaluating how much additional operating space may be gained through forecast-based pre-release, cascade reservoir coordination, and improved forecasting reliability. Future studies may build on this boundary by incorporating upstream cascade flood-retention capacity, pre-release rules, forecast-error propagation, downstream control-section constraints, and real-time risk assessment. In this way, the present work provides a baseline for distinguishing the intrinsic flood-regulation capacity of the TGR from the additional benefits that may be achieved through dynamic operation and coordinated cascade regulation.</w:t>
      </w:r>
    </w:p>
    <w:p w14:paraId="28658FA6">
      <w:pPr>
        <w:pStyle w:val="34"/>
        <w:ind w:left="0" w:firstLine="0"/>
        <w:rPr>
          <w:rFonts w:ascii="Times New Roman" w:hAnsi="Times New Roman" w:eastAsiaTheme="minorEastAsia"/>
          <w:color w:val="auto"/>
          <w:lang w:eastAsia="zh-CN"/>
        </w:rPr>
      </w:pPr>
    </w:p>
    <w:p w14:paraId="5B44946B">
      <w:pPr>
        <w:pStyle w:val="48"/>
        <w:ind w:left="0"/>
        <w:rPr>
          <w:rFonts w:ascii="Times New Roman" w:hAnsi="Times New Roman"/>
          <w:color w:val="auto"/>
          <w:sz w:val="28"/>
          <w:szCs w:val="28"/>
        </w:rPr>
      </w:pPr>
      <w:r>
        <w:rPr>
          <w:rFonts w:ascii="Times New Roman" w:hAnsi="Times New Roman"/>
          <w:color w:val="auto"/>
          <w:sz w:val="28"/>
          <w:szCs w:val="28"/>
        </w:rPr>
        <w:t>5. Conclusions</w:t>
      </w:r>
    </w:p>
    <w:p w14:paraId="70FEA0CA">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From the perspective of the intrinsic flood-regulation capacity of the Three Gorges Project, this study developed and optimized a one-dimensional unsteady-flow hydrodynamic model of the Three Gorges Reservoir area. By combining typical flood events with design floods of different frequencies, this study systematically analyzed the effects of different </w:t>
      </w:r>
      <w:r>
        <w:rPr>
          <w:rFonts w:hint="eastAsia" w:ascii="Times New Roman" w:hAnsi="Times New Roman" w:eastAsiaTheme="minorEastAsia"/>
          <w:color w:val="auto"/>
          <w:sz w:val="21"/>
          <w:szCs w:val="21"/>
          <w:lang w:eastAsia="zh-CN"/>
        </w:rPr>
        <w:t>initial operating water level</w:t>
      </w:r>
      <w:r>
        <w:rPr>
          <w:rFonts w:ascii="Times New Roman" w:hAnsi="Times New Roman" w:eastAsiaTheme="minorEastAsia"/>
          <w:color w:val="auto"/>
          <w:sz w:val="21"/>
          <w:szCs w:val="21"/>
        </w:rPr>
        <w:t>s and discharge rules on the maximum flood-regulation water level and excess flood volume of the Three Gorges Reservoir under conservative conditions that exclude forecast-based pre-release. The main conclusions are as follows:</w:t>
      </w:r>
    </w:p>
    <w:p w14:paraId="736B5001">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(1) The optimized hydrodynamic model can effectively reproduce the longitudinal water-level processes in the Three Gorges Reservoir area. Through segmented storage matching and inversion of uncontrolled interval inflow, the model improves the representation of storage distribution, interval inflow, and backwater effects in this </w:t>
      </w:r>
      <w:r>
        <w:rPr>
          <w:rFonts w:hint="eastAsia" w:ascii="Times New Roman" w:hAnsi="Times New Roman" w:eastAsiaTheme="minorEastAsia"/>
          <w:color w:val="auto"/>
          <w:sz w:val="21"/>
          <w:szCs w:val="21"/>
          <w:lang w:eastAsia="zh-CN"/>
        </w:rPr>
        <w:t>riverine reservoir</w:t>
      </w:r>
      <w:r>
        <w:rPr>
          <w:rFonts w:ascii="Times New Roman" w:hAnsi="Times New Roman" w:eastAsiaTheme="minorEastAsia"/>
          <w:color w:val="auto"/>
          <w:sz w:val="21"/>
          <w:szCs w:val="21"/>
        </w:rPr>
        <w:t>. The verification results show that the simulated water levels at representative stations agree well with observations, indicating that the model provides a reliable basis for evaluating flood-season operating water-level thresholds and flood-regulation responses.</w:t>
      </w:r>
    </w:p>
    <w:p w14:paraId="76E9227B">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 xml:space="preserve">(2) The influence of the initial operating water level on flood-control safety shows a clear threshold characteristic, with 155 m representing an important operational boundary under the conservative assumptions adopted in this study. When the initial operating water level is controlled at or below 155 m, the reservoir retains sufficient effective flood-control storage, and the maximum regulated water level and excess flood volume are relatively insensitive to changes in the initial level. Once the initial operating water level exceeds 155 m, part of the flood-control storage is occupied in advance, and the reservoir enters the regulated high-water-level operating range earlier. Under the combined effects of reduced remaining regulation space and release-discharge constraints, both the maximum regulated water level and excess flood volume become more sensitive to further increases in the initial operating water level. Therefore, 155 m can be regarded as a conservative reference boundary for flood-season operation of the Three Gorges Reservoir when no forecast-based pre-release is considered. It should be emphasized that this threshold is not a direct recommendation that the reservoir should be operated at 155 m throughout the </w:t>
      </w:r>
      <w:r>
        <w:rPr>
          <w:rFonts w:hint="eastAsia" w:ascii="Times New Roman" w:hAnsi="Times New Roman" w:eastAsiaTheme="minorEastAsia"/>
          <w:color w:val="auto"/>
          <w:sz w:val="21"/>
          <w:szCs w:val="21"/>
          <w:lang w:eastAsia="zh-CN"/>
        </w:rPr>
        <w:t>flood-season</w:t>
      </w:r>
      <w:r>
        <w:rPr>
          <w:rFonts w:ascii="Times New Roman" w:hAnsi="Times New Roman" w:eastAsiaTheme="minorEastAsia"/>
          <w:color w:val="auto"/>
          <w:sz w:val="21"/>
          <w:szCs w:val="21"/>
        </w:rPr>
        <w:t>. Actual flood-season operation must still follow the approved flood-limited water-level rules, and the reservoir should be drawn down in time after flood events to restore effective flood-control storage.</w:t>
      </w:r>
    </w:p>
    <w:p w14:paraId="68DCCD14">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(3) Release discharge affects the flood-regulation response of the Three Gorges Project by changing the allocation of flood volume between reservoir storage and project outflow. For a fixed initial operating water level, increasing the prescribed prescribed release limit generally reduces the maximum regulated water level and relieves in-reservoir storage pressure. For the 1% design floods, the maximum regulated water level and cumulative outflow volume above 55,000 m³/s generally decrease or remain nearly unchanged as the prescribed release limit increases. For the 0.1% and 0.01% design floods, reservoir operation approaches the high-water-level constraint range. Under these conditions, increasing the release limit can suppress the rise in the maximum regulated water level, but may increase the duration or cumulative volume of high-discharge operation. Therefore, the maximum regulated water level and regulated outflow process should be considered jointly when evaluating the intrinsic flood-regulation capacity of the Three Gorges Project. It should be noted that the cumulative outflow volume above 55,000 m³/s is used only to characterize the high-discharge response of the project under the prescribed operation rules and does not represent actual water levels, inundation, or flood risk in the middle and lower Yangtze River.</w:t>
      </w:r>
    </w:p>
    <w:p w14:paraId="79B476F7">
      <w:pPr>
        <w:pStyle w:val="34"/>
        <w:ind w:left="0" w:firstLine="420" w:firstLineChars="200"/>
        <w:rPr>
          <w:rFonts w:ascii="Times New Roman" w:hAnsi="Times New Roman" w:eastAsiaTheme="minorEastAsia"/>
          <w:color w:val="auto"/>
          <w:sz w:val="21"/>
          <w:szCs w:val="21"/>
        </w:rPr>
      </w:pPr>
      <w:r>
        <w:rPr>
          <w:rFonts w:ascii="Times New Roman" w:hAnsi="Times New Roman" w:eastAsiaTheme="minorEastAsia"/>
          <w:color w:val="auto"/>
          <w:sz w:val="21"/>
          <w:szCs w:val="21"/>
        </w:rPr>
        <w:t>Overall, the 155 m threshold identified in this study should be interpreted as a conservative safety reference under the assumptions of no upstream cascade coordination and no forecast-based pre-release, rather than as a fixed control level applicable to all practical operating conditions. In actual operation, whether the reservoir can approach this level should depend on real-time inflow forecasts, prescribed release limit, upstream cascade coordination, downstream flood-control constraints, flood magnitude, and approved operation rules. The practical value of this threshold lies in providing a baseline for evaluating the risk of flood-season water-level adjustment and the additional safety margin that may be achieved through dynamic flood-limited water-level control, cascade reservoir coordination, and forecasting uncertainty analysis.</w:t>
      </w:r>
    </w:p>
    <w:p w14:paraId="1B44E7DB">
      <w:pPr>
        <w:pStyle w:val="34"/>
        <w:ind w:left="0" w:firstLine="0"/>
        <w:rPr>
          <w:rFonts w:ascii="Times New Roman" w:hAnsi="Times New Roman" w:eastAsiaTheme="minorEastAsia"/>
          <w:color w:val="auto"/>
          <w:lang w:eastAsia="zh-CN"/>
        </w:rPr>
      </w:pPr>
    </w:p>
    <w:p w14:paraId="3D7F7548">
      <w:pPr>
        <w:pStyle w:val="48"/>
        <w:ind w:left="0"/>
        <w:jc w:val="both"/>
        <w:rPr>
          <w:rFonts w:ascii="Times New Roman" w:hAnsi="Times New Roman" w:eastAsiaTheme="minorEastAsia"/>
          <w:color w:val="auto"/>
          <w:lang w:eastAsia="zh-CN"/>
        </w:rPr>
      </w:pPr>
      <w:r>
        <w:rPr>
          <w:rFonts w:ascii="Times New Roman" w:hAnsi="Times New Roman"/>
          <w:color w:val="auto"/>
        </w:rPr>
        <w:t>References</w:t>
      </w:r>
    </w:p>
    <w:p w14:paraId="5DC311E3">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[1] Ministry of Water Resources of the People’s Republic of China. Dispatching Regulations for the Cascade Operation of the Three Gorges (Normal Operation Period) and Gezhouba Water Conservancy Projects (2019 Revision)[R]. Beijing: Ministry of Water Resources</w:t>
      </w:r>
      <w:r>
        <w:rPr>
          <w:rFonts w:hint="eastAsia" w:ascii="Times New Roman" w:hAnsi="Times New Roman" w:eastAsiaTheme="minorEastAsia"/>
          <w:color w:val="auto"/>
          <w:shd w:val="clear" w:color="auto" w:fill="FFFFFF"/>
        </w:rPr>
        <w:t xml:space="preserve"> </w:t>
      </w:r>
      <w:r>
        <w:rPr>
          <w:rFonts w:ascii="Times New Roman" w:hAnsi="Times New Roman" w:eastAsiaTheme="minorEastAsia"/>
          <w:color w:val="auto"/>
          <w:shd w:val="clear" w:color="auto" w:fill="FFFFFF"/>
        </w:rPr>
        <w:t>of the People’s Republic of China, 20</w:t>
      </w:r>
      <w:r>
        <w:rPr>
          <w:rFonts w:hint="eastAsia" w:ascii="Times New Roman" w:hAnsi="Times New Roman" w:eastAsiaTheme="minorEastAsia"/>
          <w:color w:val="auto"/>
          <w:shd w:val="clear" w:color="auto" w:fill="FFFFFF"/>
        </w:rPr>
        <w:t>19</w:t>
      </w:r>
      <w:r>
        <w:rPr>
          <w:rFonts w:ascii="Times New Roman" w:hAnsi="Times New Roman" w:eastAsiaTheme="minorEastAsia"/>
          <w:color w:val="auto"/>
          <w:shd w:val="clear" w:color="auto" w:fill="FFFFFF"/>
        </w:rPr>
        <w:t xml:space="preserve">. </w:t>
      </w:r>
    </w:p>
    <w:p w14:paraId="1F921D4A">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 Changjiang Water Resources Commission. Preliminary Design Report of the Three Gorges Water Control Project (Hydraulic Structures)[R]. Wuhan: Changjiang Water Resources Commission, 1992. </w:t>
      </w:r>
    </w:p>
    <w:p w14:paraId="437A61F8">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 Changjiang Water Resources Commission. Hydrological Studies of the Three Gorges Project[M]. Wuhan: Hubei Science and Technology Press, 1997. </w:t>
      </w:r>
    </w:p>
    <w:p w14:paraId="490D48E0">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[4] CAI Q H. Scientific operation of the Three Gorges Reservoir should accurately grasp three important prerequisites[J]. China Water Resources, 2012(14): 4-6.  </w:t>
      </w:r>
    </w:p>
    <w:p w14:paraId="1DB194CA">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[5] CHEN G Y, ZHANG J, ZOU Q. Studies on flood-control operation of the Three Gorges Project and analysis of its functions[J]. China Water Resources, 2024(22): 41-47. </w:t>
      </w:r>
    </w:p>
    <w:p w14:paraId="40A5D3F0">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[6] LI G Y. Bearing in mind the mission of a national strategic project and ensuring the ten major safety aspects of the Three Gorges Project[J]. China Water Resources, 2024(22): 1-3. </w:t>
      </w:r>
    </w:p>
    <w:p w14:paraId="34C06DC3">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[7] GUO S L, XIONG L H, XIONG F, et al. Theory and methods for design floods during the operation period of cascade reservoirs[J]. Advances in Water Science, 2020, 31: 734-745. </w:t>
      </w:r>
    </w:p>
    <w:p w14:paraId="553FA7EE">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[8] GUO S L, LIU Z </w:t>
      </w:r>
      <w:r>
        <w:rPr>
          <w:rFonts w:hint="eastAsia" w:ascii="Times New Roman" w:hAnsi="Times New Roman" w:eastAsiaTheme="minorEastAsia"/>
          <w:color w:val="auto"/>
          <w:shd w:val="clear" w:color="auto" w:fill="FFFFFF"/>
        </w:rPr>
        <w:t>L</w:t>
      </w:r>
      <w:r>
        <w:rPr>
          <w:rFonts w:ascii="Times New Roman" w:hAnsi="Times New Roman" w:eastAsiaTheme="minorEastAsia"/>
          <w:color w:val="auto"/>
          <w:shd w:val="clear" w:color="auto" w:fill="FFFFFF"/>
        </w:rPr>
        <w:t xml:space="preserve">, XIONG L H. Research progress and evaluation of methods for design flood estimation[J]. Journal of Hydraulic Engineering, 2016, 47(3): 302-314. </w:t>
      </w:r>
    </w:p>
    <w:p w14:paraId="061A4A5A">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[9] GUO L, BAO Z F. Analysis of inflow changes and causes in the Three Gorges Reservoir since impoundment[J]. Hydropower and New Energy, 2016(5): 34-36.  </w:t>
      </w:r>
    </w:p>
    <w:p w14:paraId="39A31FF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[10] CHEN L, XU S S, ZHANG W, ZHAI S J, LIU X B, YANG L. Changes in the composition of flood peaks in the Three Gorges Reservoir and reasons[J]. Advances in Water Science, 2025, 36: 39-49. </w:t>
      </w:r>
    </w:p>
    <w:p w14:paraId="420DDBDC">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[11] CHEN G Y. Current status and reflections on Changjiang River flood control [J]. Yangtze River, 2025, 56: 21–27.  </w:t>
      </w:r>
    </w:p>
    <w:p w14:paraId="28B8694E">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[12] LI N, GUO S L, WANG J, XIONG F. Analysis of the encounter law between Meiyu in the middle and lower Yangtze River and inflow floods to the Three Gorges Reservoir[J]. Yangtze River, 2022, 53: 44-49. </w:t>
      </w:r>
    </w:p>
    <w:p w14:paraId="45AC9BC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[13] WEI S Z, GUO S L, WANG J, et al. Comprehensive Joint Operation of Giant Reservoir Groups in the Yangtze River Basin for Flood Control and Benefits[M]. Wuhan: Changjiang Press, 2016. </w:t>
      </w:r>
    </w:p>
    <w:p w14:paraId="09E0A48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[14] LI Y H, XIA Q Q, WANG Y Q, ZHANG H R, LAN H G, MENG H C, YANG Y. Study on staged flood-limited water levels of the Three Gorges Reservoir considering the regulation effect of the Xiluodu-Xiangjiaba cascade[J]. Resources and Environment in the Yangtze Basin, 2022, 31: 1514-1522. </w:t>
      </w:r>
    </w:p>
    <w:p w14:paraId="0A142E87">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[15] YU Y C, LI W Q, LIU Z, et al. Rational flood season staging and limit flood levels of cascade reservoirs in downstream Jinsha river[J]. Journal of Changjiang River Scientific Research Institute, 2020, 37(9): 39-44. </w:t>
      </w:r>
    </w:p>
    <w:p w14:paraId="4349AAF6">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[16] LI Y H, XIA Q Q, ZHANG H R, et al. Study on staged flood-limited water levels of Xiangjiaba Reservoir considering the regulation effect of Xiluodu Reservoir[J]. Hydrology, 2021, 41: 32-37. </w:t>
      </w:r>
    </w:p>
    <w:p w14:paraId="7C3088DD">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[17] GUO S L, WANG J, XIE Y Z, et al. Three Gorges Reservoir operation scheme facing the new era and new demands[J]. Journal of Hydraulic Engineering, 2024, 55(4): 379-388. </w:t>
      </w:r>
    </w:p>
    <w:p w14:paraId="6CFF7CE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[18] GUO S L, XIE Y Z, ZHONG S R. Optimal design of water levels and multi-objective coordinated operation for basin-wide reservoir groups[J]. Journal of Hydraulic Engineering, 2026, 57(1): 103-113</w:t>
      </w:r>
      <w:r>
        <w:rPr>
          <w:rFonts w:hint="eastAsia" w:ascii="Times New Roman" w:hAnsi="Times New Roman" w:eastAsiaTheme="minorEastAsia"/>
          <w:color w:val="auto"/>
          <w:shd w:val="clear" w:color="auto" w:fill="FFFFFF"/>
        </w:rPr>
        <w:t>.</w:t>
      </w:r>
    </w:p>
    <w:p w14:paraId="20674BB7">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[19] WANG J, GUO S L. Flood-season control water level and operational conditions of the Three Gorges Reservoir[J]. Advances in Water Science, 2020, 31: 473-480.  </w:t>
      </w:r>
    </w:p>
    <w:p w14:paraId="35D05BF6">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[20] CHU M H, LI R B, YAN Y L. Practice and reflections on optimal operation of the Three Gorges Reservoir[J]. China Water Resources, 2023(22): 22-26. </w:t>
      </w:r>
      <w:r>
        <w:fldChar w:fldCharType="begin"/>
      </w:r>
      <w:r>
        <w:instrText xml:space="preserve"> HYPERLINK "https://www.baidu.com/s?ie=utf-8&amp;wd=chu%20m%20h%20li%20r%20b%20yan%20y%20l%20practice%20and%20reflections%20on%20optimal%20operation%20of%20the%20three%20gorges%20reservoir%20china%20water%20resources%202023%2022%2022%2026%20in%20chinese" \o "Baidu学术自助补缺" </w:instrText>
      </w:r>
      <w:r>
        <w:fldChar w:fldCharType="separate"/>
      </w:r>
      <w:r>
        <w:rPr>
          <w:rFonts w:ascii="Times New Roman" w:hAnsi="Times New Roman" w:eastAsiaTheme="minorEastAsia"/>
          <w:shd w:val="clear" w:color="auto" w:fill="FFFFFF"/>
        </w:rPr>
        <w:t>【自助补缺】</w:t>
      </w:r>
      <w:r>
        <w:rPr>
          <w:rFonts w:ascii="Times New Roman" w:hAnsi="Times New Roman" w:eastAsiaTheme="minorEastAsia"/>
          <w:shd w:val="clear" w:color="auto" w:fill="FFFFFF"/>
        </w:rPr>
        <w:fldChar w:fldCharType="end"/>
      </w:r>
      <w:r>
        <w:fldChar w:fldCharType="begin"/>
      </w:r>
      <w:r>
        <w:instrText xml:space="preserve"> HYPERLINK "https://cn.bing.com/search?q=chu%20m%20h%20li%20r%20b%20yan%20y%20l%20practice%20and%20reflections%20on%20optimal%20operation%20of%20the%20three%20gorges%20reservoir%20china%20water%20resources%202023%2022%2022%2026%20in%20chinese&amp;form=QBLH&amp;sp=-1&amp;lq=0" \o "Bing自助补缺" </w:instrText>
      </w:r>
      <w:r>
        <w:fldChar w:fldCharType="separate"/>
      </w:r>
      <w:r>
        <w:rPr>
          <w:rFonts w:ascii="Times New Roman" w:hAnsi="Times New Roman" w:eastAsiaTheme="minorEastAsia"/>
          <w:shd w:val="clear" w:color="auto" w:fill="FFFFFF"/>
        </w:rPr>
        <w:t>【自助补缺】</w:t>
      </w:r>
      <w:r>
        <w:rPr>
          <w:rFonts w:ascii="Times New Roman" w:hAnsi="Times New Roman" w:eastAsiaTheme="minorEastAsia"/>
          <w:shd w:val="clear" w:color="auto" w:fill="FFFFFF"/>
        </w:rPr>
        <w:fldChar w:fldCharType="end"/>
      </w:r>
      <w:r>
        <w:fldChar w:fldCharType="begin"/>
      </w:r>
      <w:r>
        <w:instrText xml:space="preserve"> HYPERLINK "https://www.so.com/s?q=chu%20m%20h%20li%20r%20b%20yan%20y%20l%20practice%20and%20reflections%20on%20optimal%20operation%20of%20the%20three%20gorges%20reservoir%20china%20water%20resources%202023%2022%2022%2026%20in%20chinese&amp;src=srp&amp;ssid=&amp;fr=none&amp;sp=ad0" \o "360自助补缺" </w:instrText>
      </w:r>
      <w:r>
        <w:fldChar w:fldCharType="separate"/>
      </w:r>
      <w:r>
        <w:fldChar w:fldCharType="end"/>
      </w:r>
    </w:p>
    <w:p w14:paraId="1564B3DA">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[21] LI X N, FU Q P, ZHANG S, et al. Study on the operating mode of flood-season water level of the Three Gorges Reservoir[J]. Yangtze River, 2022, 53: 21-26, 40. </w:t>
      </w:r>
    </w:p>
    <w:p w14:paraId="5354709C">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[22] </w:t>
      </w:r>
      <w:r>
        <w:rPr>
          <w:rFonts w:hint="eastAsia" w:ascii="Times New Roman" w:hAnsi="Times New Roman" w:eastAsiaTheme="minorEastAsia"/>
          <w:color w:val="auto"/>
          <w:shd w:val="clear" w:color="auto" w:fill="FFFFFF"/>
        </w:rPr>
        <w:t xml:space="preserve">MA Y F，GUAN T S，LIU Y L，et al. Multi-objective coordinated competition relationship of Three Gorges Reservoir during flood season under extreme inflow conditions[J]. South-to-North Water Transfers and Water Science &amp; Technology，2025，23（3）：547-561. </w:t>
      </w:r>
    </w:p>
    <w:p w14:paraId="6970F646">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[23] WURBS R A. Reservoir-system simulation and optimization models[J]. Journal of Water Resources Planning and Management, 1993, 119(4): 455-472.</w:t>
      </w:r>
    </w:p>
    <w:p w14:paraId="2DA4C0F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[24] SIMONOVIC S P. Reservoir systems analysis: Closing gap between theory and practice[J]. Journal of Water Resources Planning and Management, 1992, 118(3): 262-280</w:t>
      </w:r>
      <w:r>
        <w:rPr>
          <w:rFonts w:hint="eastAsia" w:ascii="Times New Roman" w:hAnsi="Times New Roman" w:eastAsiaTheme="minorEastAsia"/>
          <w:color w:val="auto"/>
          <w:shd w:val="clear" w:color="auto" w:fill="FFFFFF"/>
        </w:rPr>
        <w:t>.</w:t>
      </w:r>
    </w:p>
    <w:p w14:paraId="248B5591">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[25] LABADIE J W. Optimal operation of multireservoir systems: State-of-the-art review[J]. Journal of Water Resources Planning and Management, 2004, 130(2): 93-111. </w:t>
      </w:r>
    </w:p>
    <w:p w14:paraId="105E57FF">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[26] LI Y H, XIA Q Q, CHANG W J, et al. Review of the methods of reservoir’s limiting water level during flood season[J]. Journal of Water Resources and Water Engineering, 2020, 31(5): 127-134. </w:t>
      </w:r>
    </w:p>
    <w:p w14:paraId="0E628D9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[27</w:t>
      </w:r>
      <w:r>
        <w:rPr>
          <w:rFonts w:hint="eastAsia" w:ascii="Times New Roman" w:hAnsi="Times New Roman" w:eastAsiaTheme="minorEastAsia"/>
          <w:color w:val="auto"/>
          <w:shd w:val="clear" w:color="auto" w:fill="FFFFFF"/>
        </w:rPr>
        <w:t xml:space="preserve">] </w:t>
      </w:r>
      <w:r>
        <w:rPr>
          <w:rFonts w:ascii="Times New Roman" w:hAnsi="Times New Roman" w:eastAsiaTheme="minorEastAsia"/>
          <w:color w:val="auto"/>
          <w:shd w:val="clear" w:color="auto" w:fill="FFFFFF"/>
        </w:rPr>
        <w:t xml:space="preserve">ZHANG Y X, JIANG H Y, ZHAI M S, et al. Joint dispatching of flood control project system downstream of Guanting Reservoir of Yongding River[J]. South-to-North Water Transfers and Water Science &amp; Technology, 2025, 23(3): 562-571. </w:t>
      </w:r>
    </w:p>
    <w:p w14:paraId="75DE4C97">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[28] WANG B D, ZHOU H C. Theory, Methods and Applications of Dynamic Control of Reservoir Flood-Limited Water Level[M]. Beijing: China Water &amp; Power Press, 2006. </w:t>
      </w:r>
    </w:p>
    <w:p w14:paraId="6C2D3749">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[29] ZHOU H C, WANG B D, WANG G L. Methods for Dynamic Control of Reservoir Flood-Limited Water Level[M]. Dalian: Dalian University of Technology Press, 2006. </w:t>
      </w:r>
    </w:p>
    <w:p w14:paraId="1DAEE41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[30] REN M L, HE X Y, DING L Q, et al. Review of research progress on methods for determining the dynamic control domain of reservoir flood-limited water level[J]. Water Power, 2016, 42: 61-65. </w:t>
      </w:r>
    </w:p>
    <w:p w14:paraId="5970B725">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[31] FENG P, HAN S. Flood-control risk analysis of raising reservoir flood-limited water level[J]. Journal of Tianjin University, 2007(5): 525-529. </w:t>
      </w:r>
    </w:p>
    <w:p w14:paraId="542EE526">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[32] </w:t>
      </w:r>
      <w:r>
        <w:rPr>
          <w:rFonts w:hint="eastAsia" w:ascii="Times New Roman" w:hAnsi="Times New Roman" w:eastAsiaTheme="minorEastAsia"/>
          <w:color w:val="auto"/>
          <w:shd w:val="clear" w:color="auto" w:fill="FFFFFF"/>
        </w:rPr>
        <w:t xml:space="preserve">WANG </w:t>
      </w:r>
      <w:r>
        <w:rPr>
          <w:rFonts w:ascii="Times New Roman" w:hAnsi="Times New Roman" w:eastAsiaTheme="minorEastAsia"/>
          <w:color w:val="auto"/>
          <w:shd w:val="clear" w:color="auto" w:fill="FFFFFF"/>
        </w:rPr>
        <w:t xml:space="preserve">X Y, GUO S L, WANG M Y, et al. Flood seasonal division and dynamic control of water level for Three Gorges Reservoir[J]. China Rural Water and Hydropower, 2026(3): 1-6. </w:t>
      </w:r>
    </w:p>
    <w:p w14:paraId="2619D36C">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[33] QIN Z W, DAI M L, CHEN L G, et al. Study on staged flood characteristics and climatic causes for flood of Three Gorges Reservoir[J]. Yangtze River, 2018, 49(22): 1-6. </w:t>
      </w:r>
    </w:p>
    <w:p w14:paraId="47D0B04C">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[34</w:t>
      </w:r>
      <w:r>
        <w:rPr>
          <w:rFonts w:hint="eastAsia" w:ascii="Times New Roman" w:hAnsi="Times New Roman" w:eastAsiaTheme="minorEastAsia"/>
          <w:color w:val="auto"/>
          <w:shd w:val="clear" w:color="auto" w:fill="FFFFFF"/>
        </w:rPr>
        <w:t xml:space="preserve">] </w:t>
      </w:r>
      <w:r>
        <w:rPr>
          <w:rFonts w:ascii="Times New Roman" w:hAnsi="Times New Roman" w:eastAsiaTheme="minorEastAsia"/>
          <w:color w:val="auto"/>
          <w:shd w:val="clear" w:color="auto" w:fill="FFFFFF"/>
        </w:rPr>
        <w:t xml:space="preserve">ZENG Y R, ZHU F L, LU Q W, et al. Multi-objective flood control risk analysis of reservoir groups based on dynamic control of operating water level during flood season[J]. Water Resources Protection, 2026, 42(2): 68-77. </w:t>
      </w:r>
    </w:p>
    <w:p w14:paraId="2C083A30">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[35] GUO S L, XIONG F, WANG J, et al. Preliminary exploration of design flood and control water level of Three Gorges Reservoir in operation period[J]. Journal of Hydraulic Engineering, 2019, 50(11): 1311-1317. </w:t>
      </w:r>
    </w:p>
    <w:p w14:paraId="52AD1077">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[36] DAI M L, WANG J, ZHANG M B, et al. Impact of the Three Gorges Project operation on the water exchange between Dongting Lake and the Yangtze River[J]. International Journal of Sediment Research, 2017, 32(4): 506-514. </w:t>
      </w:r>
    </w:p>
    <w:p w14:paraId="545D7494">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[37] WEI S Z. Flood control and disaster reduction strategy for the Yangtze River in the new era[J]. Yangtze River, 2017, 48: 1-7. </w:t>
      </w:r>
      <w:r>
        <w:fldChar w:fldCharType="begin"/>
      </w:r>
      <w:r>
        <w:instrText xml:space="preserve"> HYPERLINK "https://www.baidu.com/s?ie=utf-8&amp;wd=wei%20s%20z%20flood%20control%20and%20disaster%20reduction%20strategy%20for%20the%20yangtze%20river%20in%20the%20new%20era%20yangtze%20river%202017%2048%201%207%20in%20chinese" \o "Baidu学术自助补缺" </w:instrText>
      </w:r>
      <w:r>
        <w:fldChar w:fldCharType="separate"/>
      </w:r>
      <w:r>
        <w:fldChar w:fldCharType="end"/>
      </w:r>
      <w:r>
        <w:fldChar w:fldCharType="begin"/>
      </w:r>
      <w:r>
        <w:instrText xml:space="preserve"> HYPERLINK "https://cn.bing.com/search?q=wei%20s%20z%20flood%20control%20and%20disaster%20reduction%20strategy%20for%20the%20yangtze%20river%20in%20the%20new%20era%20yangtze%20river%202017%2048%201%207%20in%20chinese&amp;form=QBLH&amp;sp=-1&amp;lq=0" \o "Bing自助补缺" </w:instrText>
      </w:r>
      <w:r>
        <w:fldChar w:fldCharType="separate"/>
      </w:r>
      <w:r>
        <w:fldChar w:fldCharType="end"/>
      </w:r>
      <w:r>
        <w:fldChar w:fldCharType="begin"/>
      </w:r>
      <w:r>
        <w:instrText xml:space="preserve"> HYPERLINK "https://www.sogou.com/web?query=wei%20s%20z%20flood%20control%20and%20disaster%20reduction%20strategy%20for%20the%20yangtze%20river%20in%20the%20new%20era%20yangtze%20river%202017%2048%201%207%20in%20chinese&amp;dp=1&amp;cid=&amp;s_from=result_up" \o "Sogou自助补缺" </w:instrText>
      </w:r>
      <w:r>
        <w:fldChar w:fldCharType="separate"/>
      </w:r>
      <w:r>
        <w:fldChar w:fldCharType="end"/>
      </w:r>
      <w:r>
        <w:fldChar w:fldCharType="begin"/>
      </w:r>
      <w:r>
        <w:instrText xml:space="preserve"> HYPERLINK "https://www.so.com/s?q=wei%20s%20z%20flood%20control%20and%20disaster%20reduction%20strategy%20for%20the%20yangtze%20river%20in%20the%20new%20era%20yangtze%20river%202017%2048%201%207%20in%20chinese&amp;src=srp&amp;ssid=&amp;fr=none&amp;sp=ad0" \o "360自助补缺" </w:instrText>
      </w:r>
      <w:r>
        <w:fldChar w:fldCharType="separate"/>
      </w:r>
      <w:r>
        <w:fldChar w:fldCharType="end"/>
      </w:r>
    </w:p>
    <w:p w14:paraId="204E3952">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[38] ZHANG H Y, HU C H, GAO Y, et al. Spatial source analysis of flood in the middle and lower reaches of the Yangtze River after the Three Gorges Dam construction[J/OL]. Journal of Hydroelectric Engineering, 2026.</w:t>
      </w:r>
      <w:r>
        <w:rPr>
          <w:rFonts w:hint="eastAsia" w:ascii="Times New Roman" w:hAnsi="Times New Roman" w:eastAsiaTheme="minorEastAsia"/>
          <w:color w:val="auto"/>
          <w:shd w:val="clear" w:color="auto" w:fill="FFFFFF"/>
        </w:rPr>
        <w:t xml:space="preserve"> </w:t>
      </w:r>
      <w:r>
        <w:rPr>
          <w:rFonts w:ascii="Times New Roman" w:hAnsi="Times New Roman" w:eastAsiaTheme="minorEastAsia"/>
          <w:color w:val="auto"/>
          <w:shd w:val="clear" w:color="auto" w:fill="FFFFFF"/>
        </w:rPr>
        <w:t>https://link.cnki.net/urlid/11.2241.TV.20260509.1741.002</w:t>
      </w:r>
      <w:r>
        <w:rPr>
          <w:rFonts w:hint="eastAsia" w:ascii="Times New Roman" w:hAnsi="Times New Roman" w:eastAsiaTheme="minorEastAsia"/>
          <w:color w:val="auto"/>
          <w:shd w:val="clear" w:color="auto" w:fill="FFFFFF"/>
        </w:rPr>
        <w:t>.</w:t>
      </w:r>
      <w:r>
        <w:rPr>
          <w:rFonts w:ascii="Times New Roman" w:hAnsi="Times New Roman" w:eastAsiaTheme="minorEastAsia"/>
          <w:color w:val="auto"/>
          <w:shd w:val="clear" w:color="auto" w:fill="FFFFFF"/>
        </w:rPr>
        <w:t xml:space="preserve"> </w:t>
      </w:r>
    </w:p>
    <w:p w14:paraId="73F9B350">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[39] XIA J, XIONG L H, ZOU L, et al. Study on upstream-downstream water-safety feedback relationships in the Yangtze River Basin under changing environments[J]. Yangtze River, 2026, 57: 1-11. </w:t>
      </w:r>
    </w:p>
    <w:p w14:paraId="4D60EA90">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[40] HU C H, FANG C M, SHI H L. Research progress on major sediment issues of the Three Gorges Project[J]. China Water Resources, 2023(19): 10-16. </w:t>
      </w:r>
    </w:p>
    <w:p w14:paraId="1A1382BD">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[41] TE CHOW V. Open-Channel Hydraulics[M]. New York: McGraw-Hill, 1959. </w:t>
      </w:r>
    </w:p>
    <w:p w14:paraId="798B39C4">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[42] ABBOTT M B. Computational Hydraulics: Elements of the Theory of Free Surface Flows[M]. London: Pitman Publishing, 1979. </w:t>
      </w:r>
    </w:p>
    <w:p w14:paraId="6D33FB61">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[43] CUNGE J A, HOLLY F M, VERWEY A. Practical Aspects of Computational River Hydraulics[M]. London: Pitman, 1980.</w:t>
      </w:r>
    </w:p>
    <w:p w14:paraId="7E3F96B8">
      <w:pPr>
        <w:pStyle w:val="50"/>
        <w:numPr>
          <w:ilvl w:val="0"/>
          <w:numId w:val="0"/>
        </w:numPr>
        <w:spacing w:line="240" w:lineRule="auto"/>
        <w:ind w:left="425" w:hanging="425"/>
        <w:rPr>
          <w:rFonts w:ascii="Times New Roman" w:hAnsi="Times New Roman" w:eastAsiaTheme="minorEastAsia"/>
          <w:color w:val="auto"/>
          <w:shd w:val="clear" w:color="auto" w:fill="FFFFFF"/>
        </w:rPr>
      </w:pPr>
      <w:r>
        <w:rPr>
          <w:rFonts w:ascii="Times New Roman" w:hAnsi="Times New Roman" w:eastAsiaTheme="minorEastAsia"/>
          <w:color w:val="auto"/>
          <w:shd w:val="clear" w:color="auto" w:fill="FFFFFF"/>
        </w:rPr>
        <w:t xml:space="preserve">[44] MU Z Y, LIU D D, WANG Z Y, et al. Optimally integrating a reservoirs group and a flood detention basin for improving their flood control performance[J]. Journal of Hydrology: Regional Studies, 2025, 61: 102735. </w:t>
      </w:r>
    </w:p>
    <w:p w14:paraId="688612FE">
      <w:pPr>
        <w:pStyle w:val="50"/>
        <w:numPr>
          <w:ilvl w:val="0"/>
          <w:numId w:val="0"/>
        </w:numPr>
        <w:spacing w:line="240" w:lineRule="auto"/>
        <w:ind w:left="425" w:hanging="425"/>
        <w:rPr>
          <w:rFonts w:ascii="Times New Roman" w:hAnsi="Times New Roman" w:eastAsiaTheme="minorEastAsia"/>
          <w:color w:val="auto"/>
          <w:shd w:val="clear" w:color="auto" w:fill="FFFFFF"/>
        </w:rPr>
      </w:pPr>
    </w:p>
    <w:sectPr>
      <w:footerReference r:id="rId7" w:type="first"/>
      <w:footerReference r:id="rId6" w:type="default"/>
      <w:headerReference r:id="rId5" w:type="even"/>
      <w:type w:val="continuous"/>
      <w:pgSz w:w="11906" w:h="16838"/>
      <w:pgMar w:top="1440" w:right="1800" w:bottom="1440" w:left="1800" w:header="720" w:footer="612" w:gutter="0"/>
      <w:lnNumType w:countBy="1" w:distance="255" w:restart="continuous"/>
      <w:pgNumType w:start="1"/>
      <w:cols w:space="425" w:num="1"/>
      <w:titlePg/>
      <w:bidi/>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Palatino Linotype">
    <w:altName w:val="Noto Serif"/>
    <w:panose1 w:val="02040502050505030304"/>
    <w:charset w:val="00"/>
    <w:family w:val="roman"/>
    <w:pitch w:val="default"/>
    <w:sig w:usb0="00000000" w:usb1="00000000" w:usb2="00000000" w:usb3="00000000" w:csb0="0000019F" w:csb1="00000000"/>
  </w:font>
  <w:font w:name="Noto Serif">
    <w:panose1 w:val="02020502060505020204"/>
    <w:charset w:val="00"/>
    <w:family w:val="auto"/>
    <w:pitch w:val="default"/>
    <w:sig w:usb0="E00002FF" w:usb1="4000201F" w:usb2="08000029" w:usb3="00100000" w:csb0="0000019F" w:csb1="00000000"/>
  </w:font>
  <w:font w:name="Tahoma">
    <w:altName w:val="noto sans thai"/>
    <w:panose1 w:val="020B0604030504040204"/>
    <w:charset w:val="00"/>
    <w:family w:val="swiss"/>
    <w:pitch w:val="default"/>
    <w:sig w:usb0="00000000" w:usb1="00000000" w:usb2="00000029" w:usb3="00000000" w:csb0="000101FF" w:csb1="00000000"/>
  </w:font>
  <w:font w:name="noto sans thai">
    <w:panose1 w:val="020B0502040504020204"/>
    <w:charset w:val="00"/>
    <w:family w:val="auto"/>
    <w:pitch w:val="default"/>
    <w:sig w:usb0="81000063" w:usb1="00002000" w:usb2="00000000" w:usb3="00000000" w:csb0="0001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Cordia New">
    <w:altName w:val="noto sans thai"/>
    <w:panose1 w:val="020B0304020202020204"/>
    <w:charset w:val="DE"/>
    <w:family w:val="swiss"/>
    <w:pitch w:val="default"/>
    <w:sig w:usb0="00000000" w:usb1="00000000" w:usb2="00000000" w:usb3="00000000" w:csb0="00010001" w:csb1="00000000"/>
  </w:font>
  <w:font w:name="Symbol">
    <w:panose1 w:val="05050102010706020507"/>
    <w:charset w:val="00"/>
    <w:family w:val="decorative"/>
    <w:pitch w:val="default"/>
    <w:sig w:usb0="00000000" w:usb1="00000000" w:usb2="00000000" w:usb3="00000000" w:csb0="80000000" w:csb1="00000000"/>
  </w:font>
  <w:font w:name="等线">
    <w:altName w:val="微软雅黑"/>
    <w:panose1 w:val="00000000000000000000"/>
    <w:charset w:val="00"/>
    <w:family w:val="auto"/>
    <w:pitch w:val="default"/>
    <w:sig w:usb0="00000000" w:usb1="00000000" w:usb2="00000000" w:usb3="00000000" w:csb0="00000000" w:csb1="00000000"/>
  </w:font>
  <w:font w:name="MS Mincho">
    <w:altName w:val="宋体"/>
    <w:panose1 w:val="02020609040205080304"/>
    <w:charset w:val="80"/>
    <w:family w:val="modern"/>
    <w:pitch w:val="default"/>
    <w:sig w:usb0="00000000" w:usb1="00000000" w:usb2="08000012" w:usb3="00000000" w:csb0="000200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Cambria Math">
    <w:altName w:val="DejaVu Math TeX Gyre"/>
    <w:panose1 w:val="02040503050406030204"/>
    <w:charset w:val="00"/>
    <w:family w:val="roman"/>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Microsoft YaHei">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78EAA">
    <w:pPr>
      <w:pStyle w:val="6"/>
      <w:spacing w:line="24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C6FB96">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ABD02">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17A8C"/>
    <w:multiLevelType w:val="multilevel"/>
    <w:tmpl w:val="0AE17A8C"/>
    <w:lvl w:ilvl="0" w:tentative="0">
      <w:start w:val="1"/>
      <w:numFmt w:val="decimal"/>
      <w:pStyle w:val="75"/>
      <w:lvlText w:val="%1."/>
      <w:lvlJc w:val="left"/>
      <w:pPr>
        <w:ind w:left="425" w:hanging="425"/>
      </w:pPr>
      <w:rPr>
        <w:vertAlign w:val="superscrip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8B468F5"/>
    <w:multiLevelType w:val="multilevel"/>
    <w:tmpl w:val="18B468F5"/>
    <w:lvl w:ilvl="0" w:tentative="0">
      <w:start w:val="1"/>
      <w:numFmt w:val="bullet"/>
      <w:pStyle w:val="39"/>
      <w:lvlText w:val=""/>
      <w:lvlJc w:val="left"/>
      <w:pPr>
        <w:ind w:left="3033" w:hanging="425"/>
      </w:pPr>
      <w:rPr>
        <w:rFonts w:hint="default" w:ascii="Symbol" w:hAnsi="Symbol"/>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BC01845"/>
    <w:multiLevelType w:val="multilevel"/>
    <w:tmpl w:val="2BC01845"/>
    <w:lvl w:ilvl="0" w:tentative="0">
      <w:start w:val="1"/>
      <w:numFmt w:val="decimal"/>
      <w:pStyle w:val="50"/>
      <w:lvlText w:val="%1."/>
      <w:lvlJc w:val="left"/>
      <w:pPr>
        <w:ind w:left="425" w:hanging="425"/>
      </w:pPr>
      <w:rPr>
        <w:b w:val="0"/>
        <w:i w:val="0"/>
        <w:sz w:val="20"/>
        <w:vertAlign w:val="baselin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E572CDE"/>
    <w:multiLevelType w:val="multilevel"/>
    <w:tmpl w:val="4E572CDE"/>
    <w:lvl w:ilvl="0" w:tentative="0">
      <w:start w:val="1"/>
      <w:numFmt w:val="decimal"/>
      <w:pStyle w:val="38"/>
      <w:lvlText w:val="%1."/>
      <w:lvlJc w:val="left"/>
      <w:pPr>
        <w:ind w:left="3033" w:hanging="425"/>
      </w:pPr>
      <w:rPr>
        <w:b w:val="0"/>
        <w:i w:val="0"/>
        <w:sz w:val="20"/>
        <w:vertAlign w:val="baseline"/>
      </w:rPr>
    </w:lvl>
    <w:lvl w:ilvl="1" w:tentative="0">
      <w:start w:val="1"/>
      <w:numFmt w:val="lowerLetter"/>
      <w:lvlText w:val="%2."/>
      <w:lvlJc w:val="left"/>
      <w:pPr>
        <w:ind w:left="4048" w:hanging="360"/>
      </w:pPr>
    </w:lvl>
    <w:lvl w:ilvl="2" w:tentative="0">
      <w:start w:val="1"/>
      <w:numFmt w:val="lowerRoman"/>
      <w:lvlText w:val="%3."/>
      <w:lvlJc w:val="right"/>
      <w:pPr>
        <w:ind w:left="4768" w:hanging="180"/>
      </w:pPr>
    </w:lvl>
    <w:lvl w:ilvl="3" w:tentative="0">
      <w:start w:val="1"/>
      <w:numFmt w:val="decimal"/>
      <w:lvlText w:val="%4."/>
      <w:lvlJc w:val="left"/>
      <w:pPr>
        <w:ind w:left="5488" w:hanging="360"/>
      </w:pPr>
    </w:lvl>
    <w:lvl w:ilvl="4" w:tentative="0">
      <w:start w:val="1"/>
      <w:numFmt w:val="lowerLetter"/>
      <w:lvlText w:val="%5."/>
      <w:lvlJc w:val="left"/>
      <w:pPr>
        <w:ind w:left="6208" w:hanging="360"/>
      </w:pPr>
    </w:lvl>
    <w:lvl w:ilvl="5" w:tentative="0">
      <w:start w:val="1"/>
      <w:numFmt w:val="lowerRoman"/>
      <w:lvlText w:val="%6."/>
      <w:lvlJc w:val="right"/>
      <w:pPr>
        <w:ind w:left="6928" w:hanging="180"/>
      </w:pPr>
    </w:lvl>
    <w:lvl w:ilvl="6" w:tentative="0">
      <w:start w:val="1"/>
      <w:numFmt w:val="decimal"/>
      <w:lvlText w:val="%7."/>
      <w:lvlJc w:val="left"/>
      <w:pPr>
        <w:ind w:left="7648" w:hanging="360"/>
      </w:pPr>
    </w:lvl>
    <w:lvl w:ilvl="7" w:tentative="0">
      <w:start w:val="1"/>
      <w:numFmt w:val="lowerLetter"/>
      <w:lvlText w:val="%8."/>
      <w:lvlJc w:val="left"/>
      <w:pPr>
        <w:ind w:left="8368" w:hanging="360"/>
      </w:pPr>
    </w:lvl>
    <w:lvl w:ilvl="8" w:tentative="0">
      <w:start w:val="1"/>
      <w:numFmt w:val="lowerRoman"/>
      <w:lvlText w:val="%9."/>
      <w:lvlJc w:val="right"/>
      <w:pPr>
        <w:ind w:left="9088"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1"/>
  <w:documentProtection w:enforcement="0"/>
  <w:defaultTabStop w:val="510"/>
  <w:autoHyphenation/>
  <w:drawingGridHorizontalSpacing w:val="10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92C"/>
    <w:rsid w:val="00003E35"/>
    <w:rsid w:val="00014A1E"/>
    <w:rsid w:val="0002101F"/>
    <w:rsid w:val="00022493"/>
    <w:rsid w:val="000248ED"/>
    <w:rsid w:val="00030CBC"/>
    <w:rsid w:val="000346C7"/>
    <w:rsid w:val="000355D3"/>
    <w:rsid w:val="00040D53"/>
    <w:rsid w:val="00041E1E"/>
    <w:rsid w:val="00055C29"/>
    <w:rsid w:val="0006020A"/>
    <w:rsid w:val="00060A6F"/>
    <w:rsid w:val="00062882"/>
    <w:rsid w:val="000826BE"/>
    <w:rsid w:val="000870D9"/>
    <w:rsid w:val="00093689"/>
    <w:rsid w:val="00096818"/>
    <w:rsid w:val="000A010A"/>
    <w:rsid w:val="000A62B5"/>
    <w:rsid w:val="000B3921"/>
    <w:rsid w:val="000B5E46"/>
    <w:rsid w:val="000C4191"/>
    <w:rsid w:val="000C60CE"/>
    <w:rsid w:val="000C7425"/>
    <w:rsid w:val="000E3459"/>
    <w:rsid w:val="000E49D9"/>
    <w:rsid w:val="000F12E3"/>
    <w:rsid w:val="000F197F"/>
    <w:rsid w:val="000F5697"/>
    <w:rsid w:val="00100CC5"/>
    <w:rsid w:val="00103366"/>
    <w:rsid w:val="00110CB8"/>
    <w:rsid w:val="00112950"/>
    <w:rsid w:val="00116C58"/>
    <w:rsid w:val="00117C11"/>
    <w:rsid w:val="0012265C"/>
    <w:rsid w:val="001243AA"/>
    <w:rsid w:val="001300F4"/>
    <w:rsid w:val="001325D0"/>
    <w:rsid w:val="00137F9C"/>
    <w:rsid w:val="001414CB"/>
    <w:rsid w:val="00143EFF"/>
    <w:rsid w:val="00144F91"/>
    <w:rsid w:val="00147099"/>
    <w:rsid w:val="001474B3"/>
    <w:rsid w:val="001558D6"/>
    <w:rsid w:val="001566D4"/>
    <w:rsid w:val="00164833"/>
    <w:rsid w:val="0018719F"/>
    <w:rsid w:val="00190C24"/>
    <w:rsid w:val="00192D2B"/>
    <w:rsid w:val="001A2142"/>
    <w:rsid w:val="001B646B"/>
    <w:rsid w:val="001C628F"/>
    <w:rsid w:val="001E2AEB"/>
    <w:rsid w:val="001E49B0"/>
    <w:rsid w:val="001E5FF8"/>
    <w:rsid w:val="00213858"/>
    <w:rsid w:val="00222059"/>
    <w:rsid w:val="00226064"/>
    <w:rsid w:val="0023317C"/>
    <w:rsid w:val="00234D03"/>
    <w:rsid w:val="002426D8"/>
    <w:rsid w:val="002437F7"/>
    <w:rsid w:val="0024571D"/>
    <w:rsid w:val="002517CD"/>
    <w:rsid w:val="00251C5B"/>
    <w:rsid w:val="0025285B"/>
    <w:rsid w:val="00266233"/>
    <w:rsid w:val="00267289"/>
    <w:rsid w:val="002677D3"/>
    <w:rsid w:val="00287B81"/>
    <w:rsid w:val="00293049"/>
    <w:rsid w:val="00295161"/>
    <w:rsid w:val="002A1474"/>
    <w:rsid w:val="002A302F"/>
    <w:rsid w:val="002A47B5"/>
    <w:rsid w:val="002B00AB"/>
    <w:rsid w:val="002B0859"/>
    <w:rsid w:val="002B5A09"/>
    <w:rsid w:val="002C0381"/>
    <w:rsid w:val="002C2FC0"/>
    <w:rsid w:val="002D2267"/>
    <w:rsid w:val="002D6FFF"/>
    <w:rsid w:val="002E15A6"/>
    <w:rsid w:val="002F07C4"/>
    <w:rsid w:val="002F1E45"/>
    <w:rsid w:val="002F2EF2"/>
    <w:rsid w:val="002F3A6D"/>
    <w:rsid w:val="002F663E"/>
    <w:rsid w:val="003064F5"/>
    <w:rsid w:val="0031054B"/>
    <w:rsid w:val="0031135B"/>
    <w:rsid w:val="00311761"/>
    <w:rsid w:val="003204C4"/>
    <w:rsid w:val="00326141"/>
    <w:rsid w:val="00326DF4"/>
    <w:rsid w:val="003329D3"/>
    <w:rsid w:val="00345DDD"/>
    <w:rsid w:val="0035018A"/>
    <w:rsid w:val="00352327"/>
    <w:rsid w:val="003531EA"/>
    <w:rsid w:val="00357C1C"/>
    <w:rsid w:val="003652BD"/>
    <w:rsid w:val="0036554C"/>
    <w:rsid w:val="0037098B"/>
    <w:rsid w:val="003760F8"/>
    <w:rsid w:val="00377CB9"/>
    <w:rsid w:val="003800BA"/>
    <w:rsid w:val="003814F0"/>
    <w:rsid w:val="003850F4"/>
    <w:rsid w:val="003856B5"/>
    <w:rsid w:val="00395872"/>
    <w:rsid w:val="003A28FD"/>
    <w:rsid w:val="003A31D8"/>
    <w:rsid w:val="003A566D"/>
    <w:rsid w:val="003A7D89"/>
    <w:rsid w:val="003A7F6D"/>
    <w:rsid w:val="003D0834"/>
    <w:rsid w:val="003D6346"/>
    <w:rsid w:val="003E24AF"/>
    <w:rsid w:val="003E2BA9"/>
    <w:rsid w:val="003E7C51"/>
    <w:rsid w:val="00401D30"/>
    <w:rsid w:val="004060E4"/>
    <w:rsid w:val="0041143E"/>
    <w:rsid w:val="0041271D"/>
    <w:rsid w:val="0041622B"/>
    <w:rsid w:val="004179C5"/>
    <w:rsid w:val="00424308"/>
    <w:rsid w:val="00426AA5"/>
    <w:rsid w:val="00430091"/>
    <w:rsid w:val="00430FE5"/>
    <w:rsid w:val="00435207"/>
    <w:rsid w:val="00435F68"/>
    <w:rsid w:val="00441CE8"/>
    <w:rsid w:val="00441E77"/>
    <w:rsid w:val="00447B5B"/>
    <w:rsid w:val="004525C1"/>
    <w:rsid w:val="00454069"/>
    <w:rsid w:val="00456B46"/>
    <w:rsid w:val="0046137B"/>
    <w:rsid w:val="004630A8"/>
    <w:rsid w:val="00463617"/>
    <w:rsid w:val="00463E7E"/>
    <w:rsid w:val="00464728"/>
    <w:rsid w:val="00477A6A"/>
    <w:rsid w:val="00485478"/>
    <w:rsid w:val="00487DFE"/>
    <w:rsid w:val="004B07D2"/>
    <w:rsid w:val="004B3F89"/>
    <w:rsid w:val="004B4B18"/>
    <w:rsid w:val="004C4253"/>
    <w:rsid w:val="004C4975"/>
    <w:rsid w:val="004C5E3D"/>
    <w:rsid w:val="004D74F3"/>
    <w:rsid w:val="004E0CA7"/>
    <w:rsid w:val="004E70E7"/>
    <w:rsid w:val="004F0DA6"/>
    <w:rsid w:val="004F3C31"/>
    <w:rsid w:val="004F5EF8"/>
    <w:rsid w:val="004F6460"/>
    <w:rsid w:val="00505943"/>
    <w:rsid w:val="00505E4C"/>
    <w:rsid w:val="00505EA8"/>
    <w:rsid w:val="005127D7"/>
    <w:rsid w:val="00521547"/>
    <w:rsid w:val="005246F6"/>
    <w:rsid w:val="00526837"/>
    <w:rsid w:val="00545B32"/>
    <w:rsid w:val="005466FE"/>
    <w:rsid w:val="005523CA"/>
    <w:rsid w:val="00554269"/>
    <w:rsid w:val="00560E30"/>
    <w:rsid w:val="00563B85"/>
    <w:rsid w:val="005716EC"/>
    <w:rsid w:val="00574114"/>
    <w:rsid w:val="0057494B"/>
    <w:rsid w:val="00575799"/>
    <w:rsid w:val="005835D0"/>
    <w:rsid w:val="00583834"/>
    <w:rsid w:val="00587C08"/>
    <w:rsid w:val="00587D53"/>
    <w:rsid w:val="00593486"/>
    <w:rsid w:val="00596761"/>
    <w:rsid w:val="005B047A"/>
    <w:rsid w:val="005B3906"/>
    <w:rsid w:val="005C094B"/>
    <w:rsid w:val="005C2BA5"/>
    <w:rsid w:val="005C371A"/>
    <w:rsid w:val="005E18A2"/>
    <w:rsid w:val="005E73D7"/>
    <w:rsid w:val="005E7F66"/>
    <w:rsid w:val="005F0BD2"/>
    <w:rsid w:val="005F67CF"/>
    <w:rsid w:val="00603AD6"/>
    <w:rsid w:val="00622BA7"/>
    <w:rsid w:val="00626BA2"/>
    <w:rsid w:val="00626EBC"/>
    <w:rsid w:val="0063010F"/>
    <w:rsid w:val="006428F7"/>
    <w:rsid w:val="00645BBE"/>
    <w:rsid w:val="00653729"/>
    <w:rsid w:val="00661F65"/>
    <w:rsid w:val="006809EE"/>
    <w:rsid w:val="00685C35"/>
    <w:rsid w:val="00690277"/>
    <w:rsid w:val="00692393"/>
    <w:rsid w:val="006A0446"/>
    <w:rsid w:val="006A0551"/>
    <w:rsid w:val="006A0FF2"/>
    <w:rsid w:val="006A13D5"/>
    <w:rsid w:val="006A1FF0"/>
    <w:rsid w:val="006A374F"/>
    <w:rsid w:val="006A5717"/>
    <w:rsid w:val="006C1E42"/>
    <w:rsid w:val="006D60E8"/>
    <w:rsid w:val="006E18E6"/>
    <w:rsid w:val="006E2CD6"/>
    <w:rsid w:val="006E6056"/>
    <w:rsid w:val="006F6342"/>
    <w:rsid w:val="006F6BEF"/>
    <w:rsid w:val="006F7F0A"/>
    <w:rsid w:val="00702147"/>
    <w:rsid w:val="00703066"/>
    <w:rsid w:val="007048BE"/>
    <w:rsid w:val="00705E86"/>
    <w:rsid w:val="0071165B"/>
    <w:rsid w:val="007120D2"/>
    <w:rsid w:val="0071429D"/>
    <w:rsid w:val="00715D2C"/>
    <w:rsid w:val="00717D1F"/>
    <w:rsid w:val="00722C95"/>
    <w:rsid w:val="00724D79"/>
    <w:rsid w:val="00725A87"/>
    <w:rsid w:val="00732360"/>
    <w:rsid w:val="00741860"/>
    <w:rsid w:val="00743B99"/>
    <w:rsid w:val="00745047"/>
    <w:rsid w:val="00746129"/>
    <w:rsid w:val="00747DFD"/>
    <w:rsid w:val="00754302"/>
    <w:rsid w:val="00754CE0"/>
    <w:rsid w:val="0076194B"/>
    <w:rsid w:val="00771096"/>
    <w:rsid w:val="0077505F"/>
    <w:rsid w:val="00787317"/>
    <w:rsid w:val="007A3536"/>
    <w:rsid w:val="007B0913"/>
    <w:rsid w:val="007C52FA"/>
    <w:rsid w:val="007D06FE"/>
    <w:rsid w:val="007E3DF3"/>
    <w:rsid w:val="007F35EA"/>
    <w:rsid w:val="0080162E"/>
    <w:rsid w:val="00802466"/>
    <w:rsid w:val="0080338A"/>
    <w:rsid w:val="008044DE"/>
    <w:rsid w:val="00806752"/>
    <w:rsid w:val="00821EF2"/>
    <w:rsid w:val="00822347"/>
    <w:rsid w:val="0082332C"/>
    <w:rsid w:val="0082397E"/>
    <w:rsid w:val="00823EC5"/>
    <w:rsid w:val="0083353E"/>
    <w:rsid w:val="008436C6"/>
    <w:rsid w:val="00846F20"/>
    <w:rsid w:val="00850E6E"/>
    <w:rsid w:val="0085256E"/>
    <w:rsid w:val="008576FF"/>
    <w:rsid w:val="00864856"/>
    <w:rsid w:val="008649B9"/>
    <w:rsid w:val="00865AC6"/>
    <w:rsid w:val="00871288"/>
    <w:rsid w:val="0087211F"/>
    <w:rsid w:val="008A2A11"/>
    <w:rsid w:val="008A42EE"/>
    <w:rsid w:val="008B33AF"/>
    <w:rsid w:val="008B3F34"/>
    <w:rsid w:val="008B67E1"/>
    <w:rsid w:val="008C4288"/>
    <w:rsid w:val="008C7940"/>
    <w:rsid w:val="008D0810"/>
    <w:rsid w:val="008E0DA6"/>
    <w:rsid w:val="008E4254"/>
    <w:rsid w:val="008F0CF4"/>
    <w:rsid w:val="008F4C6D"/>
    <w:rsid w:val="00904A4F"/>
    <w:rsid w:val="00906CB5"/>
    <w:rsid w:val="00916535"/>
    <w:rsid w:val="009257B1"/>
    <w:rsid w:val="009258BA"/>
    <w:rsid w:val="00927401"/>
    <w:rsid w:val="00931FA2"/>
    <w:rsid w:val="009323CC"/>
    <w:rsid w:val="00934EC6"/>
    <w:rsid w:val="00944713"/>
    <w:rsid w:val="00945DCF"/>
    <w:rsid w:val="00951D4C"/>
    <w:rsid w:val="009535FF"/>
    <w:rsid w:val="00955434"/>
    <w:rsid w:val="00955B6D"/>
    <w:rsid w:val="009564A1"/>
    <w:rsid w:val="00957FAE"/>
    <w:rsid w:val="00961B0C"/>
    <w:rsid w:val="00961DE7"/>
    <w:rsid w:val="00967B48"/>
    <w:rsid w:val="00974AC5"/>
    <w:rsid w:val="00975AC0"/>
    <w:rsid w:val="00987AD7"/>
    <w:rsid w:val="009954DD"/>
    <w:rsid w:val="009A0A8A"/>
    <w:rsid w:val="009A2B70"/>
    <w:rsid w:val="009A6CD0"/>
    <w:rsid w:val="009C2D5E"/>
    <w:rsid w:val="009C4593"/>
    <w:rsid w:val="009D7C6F"/>
    <w:rsid w:val="009E0988"/>
    <w:rsid w:val="009E4B03"/>
    <w:rsid w:val="009E4F41"/>
    <w:rsid w:val="009E6E07"/>
    <w:rsid w:val="009F70E6"/>
    <w:rsid w:val="00A21467"/>
    <w:rsid w:val="00A33EFD"/>
    <w:rsid w:val="00A35996"/>
    <w:rsid w:val="00A41957"/>
    <w:rsid w:val="00A42F87"/>
    <w:rsid w:val="00A5058D"/>
    <w:rsid w:val="00A509FB"/>
    <w:rsid w:val="00A52C6E"/>
    <w:rsid w:val="00A550D0"/>
    <w:rsid w:val="00A6202D"/>
    <w:rsid w:val="00A63649"/>
    <w:rsid w:val="00A72ECF"/>
    <w:rsid w:val="00A80FEF"/>
    <w:rsid w:val="00A82925"/>
    <w:rsid w:val="00A829B5"/>
    <w:rsid w:val="00A90484"/>
    <w:rsid w:val="00A90EC5"/>
    <w:rsid w:val="00A93561"/>
    <w:rsid w:val="00A94ED1"/>
    <w:rsid w:val="00A95BE8"/>
    <w:rsid w:val="00A97853"/>
    <w:rsid w:val="00AB337D"/>
    <w:rsid w:val="00AB4BCC"/>
    <w:rsid w:val="00AC287C"/>
    <w:rsid w:val="00AE6FCB"/>
    <w:rsid w:val="00AF7EE7"/>
    <w:rsid w:val="00B04EE9"/>
    <w:rsid w:val="00B100A9"/>
    <w:rsid w:val="00B111CC"/>
    <w:rsid w:val="00B1188D"/>
    <w:rsid w:val="00B11D9B"/>
    <w:rsid w:val="00B14FB9"/>
    <w:rsid w:val="00B151C1"/>
    <w:rsid w:val="00B15302"/>
    <w:rsid w:val="00B31E2F"/>
    <w:rsid w:val="00B457ED"/>
    <w:rsid w:val="00B55C43"/>
    <w:rsid w:val="00B64855"/>
    <w:rsid w:val="00B64B2D"/>
    <w:rsid w:val="00B718A4"/>
    <w:rsid w:val="00B744F1"/>
    <w:rsid w:val="00B809A0"/>
    <w:rsid w:val="00B85B84"/>
    <w:rsid w:val="00B86C74"/>
    <w:rsid w:val="00B8738B"/>
    <w:rsid w:val="00B93C2C"/>
    <w:rsid w:val="00BA4CA6"/>
    <w:rsid w:val="00BA5C14"/>
    <w:rsid w:val="00BA6B4A"/>
    <w:rsid w:val="00BB6862"/>
    <w:rsid w:val="00BC24DA"/>
    <w:rsid w:val="00BC377A"/>
    <w:rsid w:val="00BC3CC4"/>
    <w:rsid w:val="00BC79EE"/>
    <w:rsid w:val="00BD394C"/>
    <w:rsid w:val="00BE21D0"/>
    <w:rsid w:val="00BF21EE"/>
    <w:rsid w:val="00BF74BF"/>
    <w:rsid w:val="00C05FFD"/>
    <w:rsid w:val="00C20D8E"/>
    <w:rsid w:val="00C264EB"/>
    <w:rsid w:val="00C30808"/>
    <w:rsid w:val="00C33B6C"/>
    <w:rsid w:val="00C34968"/>
    <w:rsid w:val="00C356B4"/>
    <w:rsid w:val="00C41725"/>
    <w:rsid w:val="00C42146"/>
    <w:rsid w:val="00C53BCB"/>
    <w:rsid w:val="00C54A2D"/>
    <w:rsid w:val="00C572BA"/>
    <w:rsid w:val="00C75971"/>
    <w:rsid w:val="00C759FA"/>
    <w:rsid w:val="00C76A17"/>
    <w:rsid w:val="00C8172C"/>
    <w:rsid w:val="00C85962"/>
    <w:rsid w:val="00C9282A"/>
    <w:rsid w:val="00C941E4"/>
    <w:rsid w:val="00CC1201"/>
    <w:rsid w:val="00CC18FB"/>
    <w:rsid w:val="00CD3CFB"/>
    <w:rsid w:val="00CD7B9D"/>
    <w:rsid w:val="00CF2271"/>
    <w:rsid w:val="00CF7D35"/>
    <w:rsid w:val="00D016F6"/>
    <w:rsid w:val="00D02817"/>
    <w:rsid w:val="00D04F51"/>
    <w:rsid w:val="00D13680"/>
    <w:rsid w:val="00D14A2C"/>
    <w:rsid w:val="00D33020"/>
    <w:rsid w:val="00D539C1"/>
    <w:rsid w:val="00D74E4E"/>
    <w:rsid w:val="00D75011"/>
    <w:rsid w:val="00D82603"/>
    <w:rsid w:val="00D86E97"/>
    <w:rsid w:val="00D87CF0"/>
    <w:rsid w:val="00D94CCA"/>
    <w:rsid w:val="00DA7CE6"/>
    <w:rsid w:val="00DB5253"/>
    <w:rsid w:val="00DB72F8"/>
    <w:rsid w:val="00DD1AB8"/>
    <w:rsid w:val="00DE7988"/>
    <w:rsid w:val="00DF6F98"/>
    <w:rsid w:val="00E1384F"/>
    <w:rsid w:val="00E1509D"/>
    <w:rsid w:val="00E15A14"/>
    <w:rsid w:val="00E175AF"/>
    <w:rsid w:val="00E41627"/>
    <w:rsid w:val="00E46613"/>
    <w:rsid w:val="00E50103"/>
    <w:rsid w:val="00E724C5"/>
    <w:rsid w:val="00E8105F"/>
    <w:rsid w:val="00E83EEB"/>
    <w:rsid w:val="00E919B9"/>
    <w:rsid w:val="00E94B1B"/>
    <w:rsid w:val="00E95913"/>
    <w:rsid w:val="00EA2A14"/>
    <w:rsid w:val="00EA476C"/>
    <w:rsid w:val="00EB053B"/>
    <w:rsid w:val="00EB4CF2"/>
    <w:rsid w:val="00EC2561"/>
    <w:rsid w:val="00ED1CE6"/>
    <w:rsid w:val="00ED3C80"/>
    <w:rsid w:val="00EE048F"/>
    <w:rsid w:val="00EF14C0"/>
    <w:rsid w:val="00F06C8F"/>
    <w:rsid w:val="00F073CA"/>
    <w:rsid w:val="00F109A7"/>
    <w:rsid w:val="00F16F46"/>
    <w:rsid w:val="00F24DE7"/>
    <w:rsid w:val="00F335B9"/>
    <w:rsid w:val="00F34FEE"/>
    <w:rsid w:val="00F3692C"/>
    <w:rsid w:val="00F4252D"/>
    <w:rsid w:val="00F42CAD"/>
    <w:rsid w:val="00F43EBD"/>
    <w:rsid w:val="00F464D4"/>
    <w:rsid w:val="00F50CB2"/>
    <w:rsid w:val="00F57583"/>
    <w:rsid w:val="00F57F7A"/>
    <w:rsid w:val="00F61CCF"/>
    <w:rsid w:val="00F6327F"/>
    <w:rsid w:val="00F64715"/>
    <w:rsid w:val="00F70C1F"/>
    <w:rsid w:val="00F70C3B"/>
    <w:rsid w:val="00FA02A8"/>
    <w:rsid w:val="00FA558B"/>
    <w:rsid w:val="00FA693E"/>
    <w:rsid w:val="00FB1898"/>
    <w:rsid w:val="00FB4552"/>
    <w:rsid w:val="00FB586F"/>
    <w:rsid w:val="00FB7F2F"/>
    <w:rsid w:val="00FC781C"/>
    <w:rsid w:val="00FC7D39"/>
    <w:rsid w:val="00FD3DF8"/>
    <w:rsid w:val="00FD716E"/>
    <w:rsid w:val="00FE0515"/>
    <w:rsid w:val="00FE491A"/>
    <w:rsid w:val="00FE5102"/>
    <w:rsid w:val="00FE5B79"/>
    <w:rsid w:val="00FE5E42"/>
    <w:rsid w:val="00FE62FB"/>
    <w:rsid w:val="00FF047B"/>
    <w:rsid w:val="00FF269B"/>
    <w:rsid w:val="00FF2EA4"/>
    <w:rsid w:val="00FF422C"/>
    <w:rsid w:val="37A370A5"/>
    <w:rsid w:val="5EBD7DEE"/>
    <w:rsid w:val="5FD8F4DB"/>
    <w:rsid w:val="74F287F6"/>
    <w:rsid w:val="7AFFCCEE"/>
    <w:rsid w:val="7DBDCC55"/>
    <w:rsid w:val="7F4705DF"/>
    <w:rsid w:val="7F75BEEB"/>
    <w:rsid w:val="7FFBADBF"/>
    <w:rsid w:val="7FFE65E3"/>
    <w:rsid w:val="B2FF7843"/>
    <w:rsid w:val="B73E774B"/>
    <w:rsid w:val="BD469B00"/>
    <w:rsid w:val="BE194DEF"/>
    <w:rsid w:val="CFD977FE"/>
    <w:rsid w:val="DCD3EAD0"/>
    <w:rsid w:val="EBEDB9F8"/>
    <w:rsid w:val="FB384F6D"/>
    <w:rsid w:val="FF33598D"/>
    <w:rsid w:val="FF9E06D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qFormat="1" w:unhideWhenUsed="0" w:uiPriority="99" w:semiHidden="0" w:name="line number"/>
    <w:lsdException w:qFormat="1" w:unhideWhenUsed="0" w:uiPriority="0" w:semiHidden="0" w:name="page number"/>
    <w:lsdException w:qFormat="1" w:unhideWhenUsed="0" w:uiPriority="0" w:semiHidden="0" w:name="endnote reference"/>
    <w:lsdException w:qFormat="1" w:uiPriority="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280" w:lineRule="atLeast"/>
      <w:jc w:val="both"/>
    </w:pPr>
    <w:rPr>
      <w:rFonts w:ascii="Palatino Linotype" w:hAnsi="Palatino Linotype" w:eastAsia="宋体" w:cs="Times New Roman"/>
      <w:color w:val="000000"/>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8"/>
    <w:qFormat/>
    <w:uiPriority w:val="0"/>
    <w:pPr>
      <w:spacing w:after="120" w:line="340" w:lineRule="atLeast"/>
    </w:pPr>
    <w:rPr>
      <w:sz w:val="24"/>
      <w:lang w:eastAsia="de-DE"/>
    </w:rPr>
  </w:style>
  <w:style w:type="paragraph" w:styleId="3">
    <w:name w:val="annotation text"/>
    <w:basedOn w:val="1"/>
    <w:link w:val="69"/>
    <w:qFormat/>
    <w:uiPriority w:val="0"/>
  </w:style>
  <w:style w:type="paragraph" w:styleId="4">
    <w:name w:val="endnote text"/>
    <w:basedOn w:val="1"/>
    <w:link w:val="71"/>
    <w:semiHidden/>
    <w:unhideWhenUsed/>
    <w:qFormat/>
    <w:uiPriority w:val="0"/>
    <w:pPr>
      <w:spacing w:line="240" w:lineRule="auto"/>
    </w:pPr>
  </w:style>
  <w:style w:type="paragraph" w:styleId="5">
    <w:name w:val="Balloon Text"/>
    <w:basedOn w:val="1"/>
    <w:link w:val="51"/>
    <w:qFormat/>
    <w:uiPriority w:val="99"/>
    <w:rPr>
      <w:rFonts w:cs="Tahoma"/>
      <w:szCs w:val="18"/>
    </w:rPr>
  </w:style>
  <w:style w:type="paragraph" w:styleId="6">
    <w:name w:val="footer"/>
    <w:basedOn w:val="1"/>
    <w:link w:val="31"/>
    <w:qFormat/>
    <w:uiPriority w:val="99"/>
    <w:pPr>
      <w:tabs>
        <w:tab w:val="center" w:pos="4153"/>
        <w:tab w:val="right" w:pos="8306"/>
      </w:tabs>
      <w:snapToGrid w:val="0"/>
      <w:spacing w:line="240" w:lineRule="atLeast"/>
    </w:pPr>
    <w:rPr>
      <w:szCs w:val="18"/>
    </w:rPr>
  </w:style>
  <w:style w:type="paragraph" w:styleId="7">
    <w:name w:val="header"/>
    <w:basedOn w:val="1"/>
    <w:link w:val="32"/>
    <w:qFormat/>
    <w:uiPriority w:val="99"/>
    <w:pPr>
      <w:pBdr>
        <w:bottom w:val="single" w:color="auto" w:sz="6" w:space="1"/>
      </w:pBdr>
      <w:tabs>
        <w:tab w:val="center" w:pos="4153"/>
        <w:tab w:val="right" w:pos="8306"/>
      </w:tabs>
      <w:snapToGrid w:val="0"/>
      <w:spacing w:line="240" w:lineRule="atLeast"/>
      <w:jc w:val="center"/>
    </w:pPr>
    <w:rPr>
      <w:szCs w:val="18"/>
    </w:rPr>
  </w:style>
  <w:style w:type="paragraph" w:styleId="8">
    <w:name w:val="footnote text"/>
    <w:basedOn w:val="1"/>
    <w:link w:val="72"/>
    <w:unhideWhenUsed/>
    <w:qFormat/>
    <w:uiPriority w:val="0"/>
    <w:pPr>
      <w:spacing w:line="240" w:lineRule="auto"/>
    </w:pPr>
  </w:style>
  <w:style w:type="paragraph" w:styleId="9">
    <w:name w:val="Normal (Web)"/>
    <w:basedOn w:val="1"/>
    <w:qFormat/>
    <w:uiPriority w:val="99"/>
    <w:rPr>
      <w:szCs w:val="24"/>
    </w:rPr>
  </w:style>
  <w:style w:type="paragraph" w:styleId="10">
    <w:name w:val="Title"/>
    <w:basedOn w:val="1"/>
    <w:next w:val="1"/>
    <w:link w:val="76"/>
    <w:qFormat/>
    <w:uiPriority w:val="10"/>
    <w:pPr>
      <w:widowControl w:val="0"/>
      <w:spacing w:before="240" w:after="60" w:line="240" w:lineRule="auto"/>
      <w:jc w:val="center"/>
      <w:outlineLvl w:val="0"/>
    </w:pPr>
    <w:rPr>
      <w:rFonts w:ascii="Cambria" w:hAnsi="Cambria"/>
      <w:b/>
      <w:bCs/>
      <w:color w:val="auto"/>
      <w:kern w:val="2"/>
      <w:sz w:val="48"/>
      <w:szCs w:val="32"/>
    </w:rPr>
  </w:style>
  <w:style w:type="paragraph" w:styleId="11">
    <w:name w:val="annotation subject"/>
    <w:basedOn w:val="3"/>
    <w:next w:val="3"/>
    <w:link w:val="70"/>
    <w:qFormat/>
    <w:uiPriority w:val="0"/>
    <w:rPr>
      <w:b/>
      <w:bCs/>
    </w:rPr>
  </w:style>
  <w:style w:type="table" w:styleId="13">
    <w:name w:val="Table Grid"/>
    <w:basedOn w:val="12"/>
    <w:qFormat/>
    <w:uiPriority w:val="39"/>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endnote reference"/>
    <w:qFormat/>
    <w:uiPriority w:val="0"/>
    <w:rPr>
      <w:vertAlign w:val="superscript"/>
    </w:rPr>
  </w:style>
  <w:style w:type="character" w:styleId="17">
    <w:name w:val="page number"/>
    <w:qFormat/>
    <w:uiPriority w:val="0"/>
  </w:style>
  <w:style w:type="character" w:styleId="18">
    <w:name w:val="FollowedHyperlink"/>
    <w:qFormat/>
    <w:uiPriority w:val="0"/>
    <w:rPr>
      <w:color w:val="954F72"/>
      <w:u w:val="single"/>
    </w:rPr>
  </w:style>
  <w:style w:type="character" w:styleId="19">
    <w:name w:val="line number"/>
    <w:qFormat/>
    <w:uiPriority w:val="99"/>
    <w:rPr>
      <w:rFonts w:ascii="Palatino Linotype" w:hAnsi="Palatino Linotype"/>
      <w:sz w:val="16"/>
    </w:rPr>
  </w:style>
  <w:style w:type="character" w:styleId="20">
    <w:name w:val="Hyperlink"/>
    <w:qFormat/>
    <w:uiPriority w:val="99"/>
    <w:rPr>
      <w:color w:val="0000FF"/>
      <w:u w:val="single"/>
    </w:rPr>
  </w:style>
  <w:style w:type="character" w:styleId="21">
    <w:name w:val="annotation reference"/>
    <w:qFormat/>
    <w:uiPriority w:val="0"/>
    <w:rPr>
      <w:sz w:val="21"/>
      <w:szCs w:val="21"/>
    </w:rPr>
  </w:style>
  <w:style w:type="paragraph" w:customStyle="1" w:styleId="22">
    <w:name w:val="MDPI_1.1_article_type"/>
    <w:next w:val="1"/>
    <w:qFormat/>
    <w:uiPriority w:val="0"/>
    <w:pPr>
      <w:adjustRightInd w:val="0"/>
      <w:snapToGrid w:val="0"/>
      <w:spacing w:before="240"/>
    </w:pPr>
    <w:rPr>
      <w:rFonts w:ascii="Palatino Linotype" w:hAnsi="Palatino Linotype" w:eastAsia="Times New Roman" w:cs="Times New Roman"/>
      <w:i/>
      <w:snapToGrid w:val="0"/>
      <w:color w:val="000000"/>
      <w:szCs w:val="22"/>
      <w:lang w:val="en-US" w:eastAsia="de-DE" w:bidi="en-US"/>
    </w:rPr>
  </w:style>
  <w:style w:type="paragraph" w:customStyle="1" w:styleId="23">
    <w:name w:val="MDPI_1.2_title"/>
    <w:next w:val="1"/>
    <w:qFormat/>
    <w:uiPriority w:val="0"/>
    <w:pPr>
      <w:adjustRightInd w:val="0"/>
      <w:snapToGrid w:val="0"/>
      <w:spacing w:after="240" w:line="240" w:lineRule="atLeast"/>
    </w:pPr>
    <w:rPr>
      <w:rFonts w:ascii="Palatino Linotype" w:hAnsi="Palatino Linotype" w:eastAsia="Times New Roman" w:cs="Times New Roman"/>
      <w:b/>
      <w:snapToGrid w:val="0"/>
      <w:color w:val="000000"/>
      <w:sz w:val="36"/>
      <w:lang w:val="en-US" w:eastAsia="de-DE" w:bidi="en-US"/>
    </w:rPr>
  </w:style>
  <w:style w:type="paragraph" w:customStyle="1" w:styleId="24">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paragraph" w:customStyle="1" w:styleId="25">
    <w:name w:val="MDPI_1.4_history"/>
    <w:basedOn w:val="1"/>
    <w:next w:val="1"/>
    <w:qFormat/>
    <w:uiPriority w:val="0"/>
    <w:pPr>
      <w:adjustRightInd w:val="0"/>
      <w:snapToGrid w:val="0"/>
      <w:spacing w:line="240" w:lineRule="atLeast"/>
      <w:ind w:right="113"/>
      <w:jc w:val="left"/>
    </w:pPr>
    <w:rPr>
      <w:rFonts w:eastAsia="Times New Roman"/>
      <w:sz w:val="14"/>
      <w:lang w:eastAsia="de-DE" w:bidi="en-US"/>
    </w:rPr>
  </w:style>
  <w:style w:type="paragraph" w:customStyle="1" w:styleId="26">
    <w:name w:val="MDPI_1.6_affiliation"/>
    <w:qFormat/>
    <w:uiPriority w:val="0"/>
    <w:pPr>
      <w:adjustRightInd w:val="0"/>
      <w:snapToGrid w:val="0"/>
      <w:spacing w:line="200" w:lineRule="atLeast"/>
      <w:ind w:left="2806" w:hanging="198"/>
    </w:pPr>
    <w:rPr>
      <w:rFonts w:ascii="Palatino Linotype" w:hAnsi="Palatino Linotype" w:eastAsia="Times New Roman" w:cs="Times New Roman"/>
      <w:color w:val="000000"/>
      <w:sz w:val="16"/>
      <w:szCs w:val="18"/>
      <w:lang w:val="en-US" w:eastAsia="de-DE" w:bidi="en-US"/>
    </w:rPr>
  </w:style>
  <w:style w:type="paragraph" w:customStyle="1" w:styleId="27">
    <w:name w:val="MDPI_1.7_abstract"/>
    <w:next w:val="1"/>
    <w:qFormat/>
    <w:uiPriority w:val="0"/>
    <w:pPr>
      <w:adjustRightInd w:val="0"/>
      <w:snapToGrid w:val="0"/>
      <w:spacing w:before="240" w:after="120" w:line="280" w:lineRule="atLeast"/>
      <w:ind w:left="2608"/>
      <w:jc w:val="both"/>
    </w:pPr>
    <w:rPr>
      <w:rFonts w:ascii="Palatino Linotype" w:hAnsi="Palatino Linotype" w:eastAsia="Times New Roman" w:cs="Times New Roman"/>
      <w:color w:val="000000"/>
      <w:szCs w:val="22"/>
      <w:lang w:val="en-US" w:eastAsia="de-DE" w:bidi="en-US"/>
    </w:rPr>
  </w:style>
  <w:style w:type="paragraph" w:customStyle="1" w:styleId="28">
    <w:name w:val="MDPI_1.8_keywords"/>
    <w:next w:val="1"/>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29">
    <w:name w:val="MDPI_1.9_line"/>
    <w:qFormat/>
    <w:uiPriority w:val="0"/>
    <w:pPr>
      <w:pBdr>
        <w:bottom w:val="single" w:color="auto" w:sz="6" w:space="1"/>
      </w:pBdr>
      <w:adjustRightInd w:val="0"/>
      <w:snapToGrid w:val="0"/>
      <w:spacing w:after="480" w:line="280" w:lineRule="atLeast"/>
      <w:ind w:left="2608"/>
      <w:jc w:val="both"/>
    </w:pPr>
    <w:rPr>
      <w:rFonts w:ascii="Palatino Linotype" w:hAnsi="Palatino Linotype" w:eastAsia="Times New Roman" w:cs="Cordia New"/>
      <w:color w:val="000000"/>
      <w:szCs w:val="24"/>
      <w:lang w:val="en-US" w:eastAsia="de-DE" w:bidi="en-US"/>
    </w:rPr>
  </w:style>
  <w:style w:type="table" w:customStyle="1" w:styleId="30">
    <w:name w:val="M_deck_5_table_body_three_lines"/>
    <w:basedOn w:val="12"/>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31">
    <w:name w:val="页脚 字符"/>
    <w:link w:val="6"/>
    <w:qFormat/>
    <w:uiPriority w:val="99"/>
    <w:rPr>
      <w:rFonts w:ascii="Palatino Linotype" w:hAnsi="Palatino Linotype"/>
      <w:color w:val="000000"/>
      <w:szCs w:val="18"/>
    </w:rPr>
  </w:style>
  <w:style w:type="character" w:customStyle="1" w:styleId="32">
    <w:name w:val="页眉 字符"/>
    <w:link w:val="7"/>
    <w:qFormat/>
    <w:uiPriority w:val="99"/>
    <w:rPr>
      <w:rFonts w:ascii="Palatino Linotype" w:hAnsi="Palatino Linotype"/>
      <w:color w:val="000000"/>
      <w:szCs w:val="18"/>
    </w:rPr>
  </w:style>
  <w:style w:type="paragraph" w:customStyle="1" w:styleId="33">
    <w:name w:val="MDPI_3.2_text_no_indent"/>
    <w:basedOn w:val="34"/>
    <w:qFormat/>
    <w:uiPriority w:val="0"/>
    <w:pPr>
      <w:ind w:firstLine="0"/>
    </w:pPr>
  </w:style>
  <w:style w:type="paragraph" w:customStyle="1" w:styleId="34">
    <w:name w:val="MDPI_3.1_tex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5">
    <w:name w:val="MDPI_3.3_text_space_after"/>
    <w:qFormat/>
    <w:uiPriority w:val="0"/>
    <w:pPr>
      <w:adjustRightInd w:val="0"/>
      <w:snapToGrid w:val="0"/>
      <w:spacing w:after="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6">
    <w:name w:val="MDPI_3.5_text_before_list"/>
    <w:qFormat/>
    <w:uiPriority w:val="0"/>
    <w:pPr>
      <w:adjustRightInd w:val="0"/>
      <w:snapToGrid w:val="0"/>
      <w:spacing w:line="280" w:lineRule="atLeast"/>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7">
    <w:name w:val="MDPI_3.6_text_after_list"/>
    <w:qFormat/>
    <w:uiPriority w:val="0"/>
    <w:pPr>
      <w:adjustRightInd w:val="0"/>
      <w:snapToGrid w:val="0"/>
      <w:spacing w:before="12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3.7_itemize"/>
    <w:qFormat/>
    <w:uiPriority w:val="0"/>
    <w:pPr>
      <w:numPr>
        <w:ilvl w:val="0"/>
        <w:numId w:val="1"/>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39">
    <w:name w:val="MDPI_3.8_bullet"/>
    <w:qFormat/>
    <w:uiPriority w:val="0"/>
    <w:pPr>
      <w:numPr>
        <w:ilvl w:val="0"/>
        <w:numId w:val="2"/>
      </w:numPr>
      <w:adjustRightInd w:val="0"/>
      <w:snapToGrid w:val="0"/>
      <w:spacing w:line="280" w:lineRule="atLeast"/>
      <w:jc w:val="both"/>
    </w:pPr>
    <w:rPr>
      <w:rFonts w:ascii="Palatino Linotype" w:hAnsi="Palatino Linotype" w:eastAsia="Times New Roman" w:cs="Times New Roman"/>
      <w:color w:val="000000"/>
      <w:szCs w:val="22"/>
      <w:lang w:val="en-US" w:eastAsia="de-DE" w:bidi="en-US"/>
    </w:rPr>
  </w:style>
  <w:style w:type="paragraph" w:customStyle="1" w:styleId="40">
    <w:name w:val="MDPI_3.9_equation"/>
    <w:qFormat/>
    <w:uiPriority w:val="0"/>
    <w:pPr>
      <w:adjustRightInd w:val="0"/>
      <w:snapToGrid w:val="0"/>
      <w:spacing w:before="120" w:after="120" w:line="28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41">
    <w:name w:val="MDPI_3.a_equation_number"/>
    <w:qFormat/>
    <w:uiPriority w:val="0"/>
    <w:pPr>
      <w:spacing w:before="120" w:after="120" w:line="280" w:lineRule="atLeast"/>
      <w:jc w:val="right"/>
    </w:pPr>
    <w:rPr>
      <w:rFonts w:ascii="Palatino Linotype" w:hAnsi="Palatino Linotype" w:eastAsia="Times New Roman" w:cs="Times New Roman"/>
      <w:snapToGrid w:val="0"/>
      <w:color w:val="000000"/>
      <w:szCs w:val="22"/>
      <w:lang w:val="en-US" w:eastAsia="de-DE" w:bidi="en-US"/>
    </w:rPr>
  </w:style>
  <w:style w:type="paragraph" w:customStyle="1" w:styleId="42">
    <w:name w:val="MDPI_4.1_table_caption"/>
    <w:qFormat/>
    <w:uiPriority w:val="0"/>
    <w:pPr>
      <w:adjustRightInd w:val="0"/>
      <w:snapToGrid w:val="0"/>
      <w:spacing w:before="240" w:after="120"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3">
    <w:name w:val="MDPI_4.2_table_body"/>
    <w:qFormat/>
    <w:uiPriority w:val="0"/>
    <w:pPr>
      <w:adjustRightInd w:val="0"/>
      <w:snapToGrid w:val="0"/>
      <w:spacing w:line="260" w:lineRule="atLeast"/>
      <w:jc w:val="center"/>
    </w:pPr>
    <w:rPr>
      <w:rFonts w:ascii="Palatino Linotype" w:hAnsi="Palatino Linotype" w:eastAsia="Times New Roman" w:cs="Times New Roman"/>
      <w:snapToGrid w:val="0"/>
      <w:color w:val="000000"/>
      <w:lang w:val="en-US" w:eastAsia="de-DE" w:bidi="en-US"/>
    </w:rPr>
  </w:style>
  <w:style w:type="paragraph" w:customStyle="1" w:styleId="44">
    <w:name w:val="MDPI_4.3_table_footer"/>
    <w:next w:val="34"/>
    <w:qFormat/>
    <w:uiPriority w:val="0"/>
    <w:pPr>
      <w:adjustRightInd w:val="0"/>
      <w:snapToGrid w:val="0"/>
      <w:spacing w:line="280" w:lineRule="atLeast"/>
      <w:ind w:left="2608"/>
      <w:jc w:val="both"/>
    </w:pPr>
    <w:rPr>
      <w:rFonts w:ascii="Palatino Linotype" w:hAnsi="Palatino Linotype" w:eastAsia="Times New Roman" w:cs="Cordia New"/>
      <w:color w:val="000000"/>
      <w:sz w:val="18"/>
      <w:szCs w:val="22"/>
      <w:lang w:val="en-US" w:eastAsia="de-DE" w:bidi="en-US"/>
    </w:rPr>
  </w:style>
  <w:style w:type="paragraph" w:customStyle="1" w:styleId="45">
    <w:name w:val="MDPI_5.1_figure_caption"/>
    <w:qFormat/>
    <w:uiPriority w:val="0"/>
    <w:pPr>
      <w:adjustRightInd w:val="0"/>
      <w:snapToGrid w:val="0"/>
      <w:spacing w:before="120" w:after="240" w:line="280" w:lineRule="atLeast"/>
      <w:ind w:left="2608"/>
      <w:jc w:val="both"/>
    </w:pPr>
    <w:rPr>
      <w:rFonts w:ascii="Palatino Linotype" w:hAnsi="Palatino Linotype" w:eastAsia="Times New Roman" w:cs="Times New Roman"/>
      <w:color w:val="000000"/>
      <w:sz w:val="18"/>
      <w:lang w:val="en-US" w:eastAsia="de-DE" w:bidi="en-US"/>
    </w:rPr>
  </w:style>
  <w:style w:type="paragraph" w:customStyle="1" w:styleId="46">
    <w:name w:val="MDPI_5.2_figure"/>
    <w:qFormat/>
    <w:uiPriority w:val="0"/>
    <w:pPr>
      <w:adjustRightInd w:val="0"/>
      <w:snapToGrid w:val="0"/>
      <w:spacing w:before="240" w:after="120"/>
      <w:jc w:val="center"/>
    </w:pPr>
    <w:rPr>
      <w:rFonts w:ascii="Palatino Linotype" w:hAnsi="Palatino Linotype" w:eastAsia="Times New Roman" w:cs="Times New Roman"/>
      <w:snapToGrid w:val="0"/>
      <w:color w:val="000000"/>
      <w:lang w:val="en-US" w:eastAsia="de-DE" w:bidi="en-US"/>
    </w:rPr>
  </w:style>
  <w:style w:type="paragraph" w:customStyle="1" w:styleId="47">
    <w:name w:val="MDPI_2.3_heading3"/>
    <w:qFormat/>
    <w:uiPriority w:val="0"/>
    <w:pPr>
      <w:adjustRightInd w:val="0"/>
      <w:snapToGrid w:val="0"/>
      <w:spacing w:before="60" w:after="60" w:line="280" w:lineRule="atLeast"/>
      <w:ind w:left="2608"/>
      <w:outlineLvl w:val="2"/>
    </w:pPr>
    <w:rPr>
      <w:rFonts w:ascii="Palatino Linotype" w:hAnsi="Palatino Linotype" w:eastAsia="Times New Roman" w:cs="Times New Roman"/>
      <w:snapToGrid w:val="0"/>
      <w:color w:val="000000"/>
      <w:szCs w:val="22"/>
      <w:lang w:val="en-US" w:eastAsia="de-DE" w:bidi="en-US"/>
    </w:rPr>
  </w:style>
  <w:style w:type="paragraph" w:customStyle="1" w:styleId="48">
    <w:name w:val="MDPI_2.1_heading1"/>
    <w:qFormat/>
    <w:uiPriority w:val="0"/>
    <w:pPr>
      <w:adjustRightInd w:val="0"/>
      <w:snapToGrid w:val="0"/>
      <w:spacing w:before="240" w:after="60" w:line="280" w:lineRule="atLeast"/>
      <w:ind w:left="2608"/>
      <w:outlineLvl w:val="0"/>
    </w:pPr>
    <w:rPr>
      <w:rFonts w:ascii="Palatino Linotype" w:hAnsi="Palatino Linotype" w:eastAsia="Times New Roman" w:cs="Times New Roman"/>
      <w:b/>
      <w:snapToGrid w:val="0"/>
      <w:color w:val="000000"/>
      <w:sz w:val="24"/>
      <w:szCs w:val="22"/>
      <w:lang w:val="en-US" w:eastAsia="de-DE" w:bidi="en-US"/>
    </w:rPr>
  </w:style>
  <w:style w:type="paragraph" w:customStyle="1" w:styleId="49">
    <w:name w:val="MDPI_2.2_heading2"/>
    <w:qFormat/>
    <w:uiPriority w:val="0"/>
    <w:pPr>
      <w:adjustRightInd w:val="0"/>
      <w:snapToGrid w:val="0"/>
      <w:spacing w:before="60" w:after="60" w:line="280" w:lineRule="atLeast"/>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50">
    <w:name w:val="MDPI_8.1_references"/>
    <w:qFormat/>
    <w:uiPriority w:val="0"/>
    <w:pPr>
      <w:numPr>
        <w:ilvl w:val="0"/>
        <w:numId w:val="3"/>
      </w:numPr>
      <w:adjustRightInd w:val="0"/>
      <w:snapToGrid w:val="0"/>
      <w:spacing w:line="280" w:lineRule="atLeast"/>
      <w:jc w:val="both"/>
    </w:pPr>
    <w:rPr>
      <w:rFonts w:ascii="Palatino Linotype" w:hAnsi="Palatino Linotype" w:eastAsia="Times New Roman" w:cs="Times New Roman"/>
      <w:color w:val="000000"/>
      <w:sz w:val="18"/>
      <w:lang w:val="en-US" w:eastAsia="de-DE" w:bidi="en-US"/>
    </w:rPr>
  </w:style>
  <w:style w:type="character" w:customStyle="1" w:styleId="51">
    <w:name w:val="批注框文本 字符"/>
    <w:link w:val="5"/>
    <w:qFormat/>
    <w:uiPriority w:val="99"/>
    <w:rPr>
      <w:rFonts w:ascii="Palatino Linotype" w:hAnsi="Palatino Linotype" w:cs="Tahoma"/>
      <w:color w:val="000000"/>
      <w:szCs w:val="18"/>
    </w:rPr>
  </w:style>
  <w:style w:type="table" w:customStyle="1" w:styleId="52">
    <w:name w:val="MDPI_4.1_three_line_table"/>
    <w:basedOn w:val="12"/>
    <w:qFormat/>
    <w:uiPriority w:val="99"/>
    <w:pPr>
      <w:adjustRightInd w:val="0"/>
      <w:snapToGrid w:val="0"/>
      <w:spacing w:line="280" w:lineRule="atLeast"/>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cPr>
        <w:tcBorders>
          <w:bottom w:val="single" w:color="auto" w:sz="4" w:space="0"/>
        </w:tcBorders>
      </w:tcPr>
    </w:tblStylePr>
  </w:style>
  <w:style w:type="character" w:customStyle="1" w:styleId="53">
    <w:name w:val="未处理的提及1"/>
    <w:semiHidden/>
    <w:unhideWhenUsed/>
    <w:qFormat/>
    <w:uiPriority w:val="99"/>
    <w:rPr>
      <w:color w:val="605E5C"/>
      <w:shd w:val="clear" w:color="auto" w:fill="E1DFDD"/>
    </w:rPr>
  </w:style>
  <w:style w:type="table" w:customStyle="1" w:styleId="54">
    <w:name w:val="无格式表格 41"/>
    <w:basedOn w:val="12"/>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2F2F2"/>
      </w:tcPr>
    </w:tblStylePr>
    <w:tblStylePr w:type="band1Horz">
      <w:tcPr>
        <w:shd w:val="clear" w:color="auto" w:fill="F2F2F2"/>
      </w:tcPr>
    </w:tblStylePr>
  </w:style>
  <w:style w:type="paragraph" w:customStyle="1" w:styleId="55">
    <w:name w:val="MDPI_3.4_text_space_before"/>
    <w:qFormat/>
    <w:uiPriority w:val="0"/>
    <w:pPr>
      <w:adjustRightInd w:val="0"/>
      <w:snapToGrid w:val="0"/>
      <w:spacing w:before="240"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6">
    <w:name w:val="MDPI_8.2_theorem"/>
    <w:qFormat/>
    <w:uiPriority w:val="0"/>
    <w:pPr>
      <w:adjustRightInd w:val="0"/>
      <w:snapToGrid w:val="0"/>
      <w:spacing w:line="280" w:lineRule="atLeast"/>
      <w:ind w:left="2608"/>
      <w:jc w:val="both"/>
    </w:pPr>
    <w:rPr>
      <w:rFonts w:ascii="Palatino Linotype" w:hAnsi="Palatino Linotype" w:eastAsia="Times New Roman" w:cs="Times New Roman"/>
      <w:i/>
      <w:snapToGrid w:val="0"/>
      <w:color w:val="000000"/>
      <w:szCs w:val="22"/>
      <w:lang w:val="en-US" w:eastAsia="de-DE" w:bidi="en-US"/>
    </w:rPr>
  </w:style>
  <w:style w:type="paragraph" w:customStyle="1" w:styleId="57">
    <w:name w:val="MDPI_8.3_proof"/>
    <w:qFormat/>
    <w:uiPriority w:val="0"/>
    <w:pPr>
      <w:adjustRightInd w:val="0"/>
      <w:snapToGrid w:val="0"/>
      <w:spacing w:line="280" w:lineRule="atLeast"/>
      <w:ind w:left="2608"/>
      <w:jc w:val="both"/>
    </w:pPr>
    <w:rPr>
      <w:rFonts w:ascii="Palatino Linotype" w:hAnsi="Palatino Linotype" w:eastAsia="Times New Roman" w:cs="Times New Roman"/>
      <w:snapToGrid w:val="0"/>
      <w:color w:val="000000"/>
      <w:szCs w:val="22"/>
      <w:lang w:val="en-US" w:eastAsia="de-DE" w:bidi="en-US"/>
    </w:rPr>
  </w:style>
  <w:style w:type="paragraph" w:customStyle="1" w:styleId="58">
    <w:name w:val="MDPI_6.1_citation"/>
    <w:qFormat/>
    <w:uiPriority w:val="0"/>
    <w:pPr>
      <w:adjustRightInd w:val="0"/>
      <w:snapToGrid w:val="0"/>
      <w:spacing w:before="120" w:after="120" w:line="240" w:lineRule="atLeast"/>
      <w:ind w:right="113"/>
    </w:pPr>
    <w:rPr>
      <w:rFonts w:ascii="Palatino Linotype" w:hAnsi="Palatino Linotype" w:eastAsia="宋体" w:cs="Cordia New"/>
      <w:sz w:val="14"/>
      <w:szCs w:val="22"/>
      <w:lang w:val="en-US" w:eastAsia="zh-CN" w:bidi="ar-SA"/>
    </w:rPr>
  </w:style>
  <w:style w:type="paragraph" w:customStyle="1" w:styleId="59">
    <w:name w:val="MDPI_6.2_back_matter"/>
    <w:qFormat/>
    <w:uiPriority w:val="0"/>
    <w:pPr>
      <w:adjustRightInd w:val="0"/>
      <w:snapToGrid w:val="0"/>
      <w:spacing w:after="120" w:line="280" w:lineRule="atLeast"/>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60">
    <w:name w:val="MDPI_6.3_notes"/>
    <w:qFormat/>
    <w:uiPriority w:val="0"/>
    <w:pPr>
      <w:adjustRightInd w:val="0"/>
      <w:snapToGrid w:val="0"/>
      <w:spacing w:before="240" w:line="280" w:lineRule="atLeast"/>
      <w:jc w:val="both"/>
    </w:pPr>
    <w:rPr>
      <w:rFonts w:ascii="Palatino Linotype" w:hAnsi="Palatino Linotype" w:eastAsia="宋体" w:cs="Times New Roman"/>
      <w:snapToGrid w:val="0"/>
      <w:color w:val="000000"/>
      <w:sz w:val="18"/>
      <w:lang w:val="en-US" w:eastAsia="en-US" w:bidi="en-US"/>
    </w:rPr>
  </w:style>
  <w:style w:type="paragraph" w:customStyle="1" w:styleId="61">
    <w:name w:val="MDPI_1.5_academic_editor"/>
    <w:qFormat/>
    <w:uiPriority w:val="0"/>
    <w:pPr>
      <w:adjustRightInd w:val="0"/>
      <w:snapToGrid w:val="0"/>
      <w:spacing w:before="120" w:line="240" w:lineRule="atLeast"/>
      <w:ind w:right="113"/>
    </w:pPr>
    <w:rPr>
      <w:rFonts w:ascii="Palatino Linotype" w:hAnsi="Palatino Linotype" w:eastAsia="Times New Roman" w:cs="Times New Roman"/>
      <w:color w:val="000000"/>
      <w:sz w:val="14"/>
      <w:szCs w:val="22"/>
      <w:lang w:val="en-US" w:eastAsia="de-DE" w:bidi="en-US"/>
    </w:rPr>
  </w:style>
  <w:style w:type="paragraph" w:customStyle="1" w:styleId="62">
    <w:name w:val="MDPI_4.1.1_one_table_caption"/>
    <w:qFormat/>
    <w:uiPriority w:val="0"/>
    <w:pPr>
      <w:adjustRightInd w:val="0"/>
      <w:snapToGrid w:val="0"/>
      <w:spacing w:before="240" w:after="120" w:line="280" w:lineRule="atLeast"/>
      <w:jc w:val="center"/>
    </w:pPr>
    <w:rPr>
      <w:rFonts w:ascii="Palatino Linotype" w:hAnsi="Palatino Linotype" w:eastAsia="宋体" w:cs="Cordia New"/>
      <w:color w:val="000000"/>
      <w:sz w:val="18"/>
      <w:szCs w:val="22"/>
      <w:lang w:val="en-US" w:eastAsia="zh-CN" w:bidi="en-US"/>
    </w:rPr>
  </w:style>
  <w:style w:type="paragraph" w:customStyle="1" w:styleId="63">
    <w:name w:val="MDPI_5.1.1_one_figure_caption"/>
    <w:qFormat/>
    <w:uiPriority w:val="0"/>
    <w:pPr>
      <w:adjustRightInd w:val="0"/>
      <w:snapToGrid w:val="0"/>
      <w:spacing w:before="240" w:after="120" w:line="280" w:lineRule="atLeast"/>
      <w:jc w:val="center"/>
    </w:pPr>
    <w:rPr>
      <w:rFonts w:ascii="Palatino Linotype" w:hAnsi="Palatino Linotype" w:eastAsia="宋体" w:cs="Times New Roman"/>
      <w:color w:val="000000"/>
      <w:sz w:val="18"/>
      <w:lang w:val="en-US" w:eastAsia="zh-CN" w:bidi="en-US"/>
    </w:rPr>
  </w:style>
  <w:style w:type="paragraph" w:customStyle="1" w:styleId="64">
    <w:name w:val="MDPI_7.2_copyright"/>
    <w:qFormat/>
    <w:uiPriority w:val="0"/>
    <w:pPr>
      <w:adjustRightInd w:val="0"/>
      <w:snapToGrid w:val="0"/>
      <w:spacing w:before="120" w:line="240" w:lineRule="atLeast"/>
      <w:ind w:right="113"/>
    </w:pPr>
    <w:rPr>
      <w:rFonts w:ascii="Palatino Linotype" w:hAnsi="Palatino Linotype" w:eastAsia="Times New Roman" w:cs="Times New Roman"/>
      <w:snapToGrid w:val="0"/>
      <w:color w:val="000000"/>
      <w:sz w:val="14"/>
      <w:lang w:val="en-GB" w:eastAsia="en-GB" w:bidi="ar-SA"/>
    </w:rPr>
  </w:style>
  <w:style w:type="table" w:customStyle="1" w:styleId="65">
    <w:name w:val="MDPI_table"/>
    <w:basedOn w:val="12"/>
    <w:qFormat/>
    <w:uiPriority w:val="99"/>
    <w:rPr>
      <w:rFonts w:ascii="Palatino Linotype" w:hAnsi="Palatino Linotype"/>
      <w:color w:val="000000"/>
      <w:lang w:val="en-CA" w:eastAsia="en-US"/>
    </w:rPr>
    <w:tblPr>
      <w:tblCellMar>
        <w:left w:w="0" w:type="dxa"/>
        <w:right w:w="0" w:type="dxa"/>
      </w:tblCellMar>
    </w:tblPr>
  </w:style>
  <w:style w:type="character" w:customStyle="1" w:styleId="66">
    <w:name w:val="apple-converted-space"/>
    <w:qFormat/>
    <w:uiPriority w:val="0"/>
  </w:style>
  <w:style w:type="paragraph" w:customStyle="1" w:styleId="67">
    <w:name w:val="书目1"/>
    <w:basedOn w:val="1"/>
    <w:next w:val="1"/>
    <w:semiHidden/>
    <w:unhideWhenUsed/>
    <w:qFormat/>
    <w:uiPriority w:val="37"/>
  </w:style>
  <w:style w:type="character" w:customStyle="1" w:styleId="68">
    <w:name w:val="正文文本 字符"/>
    <w:link w:val="2"/>
    <w:qFormat/>
    <w:uiPriority w:val="0"/>
    <w:rPr>
      <w:rFonts w:ascii="Palatino Linotype" w:hAnsi="Palatino Linotype"/>
      <w:color w:val="000000"/>
      <w:sz w:val="24"/>
      <w:lang w:eastAsia="de-DE"/>
    </w:rPr>
  </w:style>
  <w:style w:type="character" w:customStyle="1" w:styleId="69">
    <w:name w:val="批注文字 字符"/>
    <w:link w:val="3"/>
    <w:qFormat/>
    <w:uiPriority w:val="0"/>
    <w:rPr>
      <w:rFonts w:ascii="Palatino Linotype" w:hAnsi="Palatino Linotype"/>
      <w:color w:val="000000"/>
    </w:rPr>
  </w:style>
  <w:style w:type="character" w:customStyle="1" w:styleId="70">
    <w:name w:val="批注主题 字符"/>
    <w:link w:val="11"/>
    <w:qFormat/>
    <w:uiPriority w:val="0"/>
    <w:rPr>
      <w:rFonts w:ascii="Palatino Linotype" w:hAnsi="Palatino Linotype"/>
      <w:b/>
      <w:bCs/>
      <w:color w:val="000000"/>
    </w:rPr>
  </w:style>
  <w:style w:type="character" w:customStyle="1" w:styleId="71">
    <w:name w:val="尾注文本 字符"/>
    <w:link w:val="4"/>
    <w:semiHidden/>
    <w:qFormat/>
    <w:uiPriority w:val="0"/>
    <w:rPr>
      <w:rFonts w:ascii="Palatino Linotype" w:hAnsi="Palatino Linotype"/>
      <w:color w:val="000000"/>
    </w:rPr>
  </w:style>
  <w:style w:type="character" w:customStyle="1" w:styleId="72">
    <w:name w:val="脚注文本 字符"/>
    <w:link w:val="8"/>
    <w:semiHidden/>
    <w:qFormat/>
    <w:uiPriority w:val="0"/>
    <w:rPr>
      <w:rFonts w:ascii="Palatino Linotype" w:hAnsi="Palatino Linotype"/>
      <w:color w:val="000000"/>
    </w:rPr>
  </w:style>
  <w:style w:type="paragraph" w:customStyle="1" w:styleId="73">
    <w:name w:val="MsoFootnoteText"/>
    <w:basedOn w:val="9"/>
    <w:qFormat/>
    <w:uiPriority w:val="0"/>
    <w:rPr>
      <w:rFonts w:ascii="Times New Roman" w:hAnsi="Times New Roman"/>
    </w:rPr>
  </w:style>
  <w:style w:type="character" w:styleId="74">
    <w:name w:val="Placeholder Text"/>
    <w:semiHidden/>
    <w:qFormat/>
    <w:uiPriority w:val="99"/>
    <w:rPr>
      <w:color w:val="808080"/>
    </w:rPr>
  </w:style>
  <w:style w:type="paragraph" w:customStyle="1" w:styleId="75">
    <w:name w:val="MDPI_7.1_footnotes"/>
    <w:qFormat/>
    <w:uiPriority w:val="0"/>
    <w:pPr>
      <w:numPr>
        <w:ilvl w:val="0"/>
        <w:numId w:val="4"/>
      </w:numPr>
      <w:adjustRightInd w:val="0"/>
      <w:snapToGrid w:val="0"/>
      <w:spacing w:line="280" w:lineRule="atLeast"/>
    </w:pPr>
    <w:rPr>
      <w:rFonts w:ascii="Palatino Linotype" w:hAnsi="Palatino Linotype" w:cs="Times New Roman" w:eastAsiaTheme="minorEastAsia"/>
      <w:color w:val="000000"/>
      <w:sz w:val="18"/>
      <w:lang w:val="en-US" w:eastAsia="zh-CN" w:bidi="ar-SA"/>
    </w:rPr>
  </w:style>
  <w:style w:type="character" w:customStyle="1" w:styleId="76">
    <w:name w:val="标题 字符"/>
    <w:basedOn w:val="14"/>
    <w:link w:val="10"/>
    <w:qFormat/>
    <w:uiPriority w:val="10"/>
    <w:rPr>
      <w:rFonts w:ascii="Cambria" w:hAnsi="Cambria"/>
      <w:b/>
      <w:bCs/>
      <w:kern w:val="2"/>
      <w:sz w:val="48"/>
      <w:szCs w:val="32"/>
    </w:rPr>
  </w:style>
  <w:style w:type="table" w:customStyle="1" w:styleId="77">
    <w:name w:val="网格型1"/>
    <w:basedOn w:val="12"/>
    <w:qFormat/>
    <w:uiPriority w:val="59"/>
    <w:rPr>
      <w:rFonts w:ascii="Cambria" w:hAnsi="Cambria" w:eastAsia="MS Mincho"/>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8">
    <w:name w:val="List Paragraph"/>
    <w:basedOn w:val="1"/>
    <w:unhideWhenUsed/>
    <w:qFormat/>
    <w:uiPriority w:val="99"/>
    <w:pPr>
      <w:ind w:firstLine="420" w:firstLineChars="200"/>
    </w:pPr>
  </w:style>
  <w:style w:type="paragraph" w:customStyle="1" w:styleId="79">
    <w:name w:val="修订1"/>
    <w:hidden/>
    <w:unhideWhenUsed/>
    <w:qFormat/>
    <w:uiPriority w:val="99"/>
    <w:rPr>
      <w:rFonts w:ascii="Palatino Linotype" w:hAnsi="Palatino Linotype" w:eastAsia="宋体" w:cs="Times New Roman"/>
      <w:color w:val="000000"/>
      <w:lang w:val="en-US" w:eastAsia="zh-CN" w:bidi="ar-SA"/>
    </w:rPr>
  </w:style>
  <w:style w:type="character" w:customStyle="1" w:styleId="80">
    <w:name w:val="未处理的提及2"/>
    <w:basedOn w:val="14"/>
    <w:semiHidden/>
    <w:unhideWhenUsed/>
    <w:qFormat/>
    <w:uiPriority w:val="99"/>
    <w:rPr>
      <w:color w:val="605E5C"/>
      <w:shd w:val="clear" w:color="auto" w:fill="E1DFDD"/>
    </w:rPr>
  </w:style>
  <w:style w:type="paragraph" w:customStyle="1" w:styleId="81">
    <w:name w:val="Revision"/>
    <w:hidden/>
    <w:unhideWhenUsed/>
    <w:qFormat/>
    <w:uiPriority w:val="99"/>
    <w:rPr>
      <w:rFonts w:ascii="Palatino Linotype" w:hAnsi="Palatino Linotype" w:eastAsia="宋体" w:cs="Times New Roman"/>
      <w:color w:val="00000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5" Type="http://schemas.openxmlformats.org/officeDocument/2006/relationships/fontTable" Target="fontTable.xml"/><Relationship Id="rId74" Type="http://schemas.openxmlformats.org/officeDocument/2006/relationships/numbering" Target="numbering.xml"/><Relationship Id="rId73" Type="http://schemas.openxmlformats.org/officeDocument/2006/relationships/image" Target="media/image56.tiff"/><Relationship Id="rId72" Type="http://schemas.openxmlformats.org/officeDocument/2006/relationships/image" Target="media/image55.tiff"/><Relationship Id="rId71" Type="http://schemas.openxmlformats.org/officeDocument/2006/relationships/image" Target="media/image54.tiff"/><Relationship Id="rId70" Type="http://schemas.openxmlformats.org/officeDocument/2006/relationships/image" Target="media/image53.tiff"/><Relationship Id="rId7" Type="http://schemas.openxmlformats.org/officeDocument/2006/relationships/footer" Target="footer2.xml"/><Relationship Id="rId69" Type="http://schemas.openxmlformats.org/officeDocument/2006/relationships/image" Target="media/image52.tiff"/><Relationship Id="rId68" Type="http://schemas.openxmlformats.org/officeDocument/2006/relationships/image" Target="media/image51.tiff"/><Relationship Id="rId67" Type="http://schemas.openxmlformats.org/officeDocument/2006/relationships/image" Target="media/image50.tiff"/><Relationship Id="rId66" Type="http://schemas.openxmlformats.org/officeDocument/2006/relationships/image" Target="media/image49.tiff"/><Relationship Id="rId65" Type="http://schemas.openxmlformats.org/officeDocument/2006/relationships/image" Target="media/image48.tiff"/><Relationship Id="rId64" Type="http://schemas.openxmlformats.org/officeDocument/2006/relationships/image" Target="media/image47.tiff"/><Relationship Id="rId63" Type="http://schemas.openxmlformats.org/officeDocument/2006/relationships/image" Target="media/image46.tiff"/><Relationship Id="rId62" Type="http://schemas.openxmlformats.org/officeDocument/2006/relationships/image" Target="media/image45.tiff"/><Relationship Id="rId61" Type="http://schemas.openxmlformats.org/officeDocument/2006/relationships/image" Target="media/image44.tiff"/><Relationship Id="rId60" Type="http://schemas.openxmlformats.org/officeDocument/2006/relationships/image" Target="media/image43.tiff"/><Relationship Id="rId6" Type="http://schemas.openxmlformats.org/officeDocument/2006/relationships/footer" Target="footer1.xml"/><Relationship Id="rId59" Type="http://schemas.openxmlformats.org/officeDocument/2006/relationships/image" Target="media/image42.tiff"/><Relationship Id="rId58" Type="http://schemas.openxmlformats.org/officeDocument/2006/relationships/image" Target="media/image41.tiff"/><Relationship Id="rId57" Type="http://schemas.openxmlformats.org/officeDocument/2006/relationships/image" Target="media/image40.tiff"/><Relationship Id="rId56" Type="http://schemas.openxmlformats.org/officeDocument/2006/relationships/image" Target="media/image39.tiff"/><Relationship Id="rId55" Type="http://schemas.openxmlformats.org/officeDocument/2006/relationships/image" Target="media/image38.tiff"/><Relationship Id="rId54" Type="http://schemas.openxmlformats.org/officeDocument/2006/relationships/image" Target="media/image37.tiff"/><Relationship Id="rId53" Type="http://schemas.openxmlformats.org/officeDocument/2006/relationships/image" Target="media/image36.tiff"/><Relationship Id="rId52" Type="http://schemas.openxmlformats.org/officeDocument/2006/relationships/image" Target="media/image35.tiff"/><Relationship Id="rId51" Type="http://schemas.openxmlformats.org/officeDocument/2006/relationships/image" Target="media/image34.tiff"/><Relationship Id="rId50" Type="http://schemas.openxmlformats.org/officeDocument/2006/relationships/image" Target="media/image33.tiff"/><Relationship Id="rId5" Type="http://schemas.openxmlformats.org/officeDocument/2006/relationships/header" Target="header1.xml"/><Relationship Id="rId49" Type="http://schemas.openxmlformats.org/officeDocument/2006/relationships/image" Target="media/image32.tiff"/><Relationship Id="rId48" Type="http://schemas.openxmlformats.org/officeDocument/2006/relationships/image" Target="media/image31.tiff"/><Relationship Id="rId47" Type="http://schemas.openxmlformats.org/officeDocument/2006/relationships/image" Target="media/image30.tiff"/><Relationship Id="rId46" Type="http://schemas.openxmlformats.org/officeDocument/2006/relationships/image" Target="media/image29.tiff"/><Relationship Id="rId45" Type="http://schemas.openxmlformats.org/officeDocument/2006/relationships/image" Target="media/image28.tiff"/><Relationship Id="rId44" Type="http://schemas.openxmlformats.org/officeDocument/2006/relationships/image" Target="media/image27.tiff"/><Relationship Id="rId43" Type="http://schemas.openxmlformats.org/officeDocument/2006/relationships/image" Target="media/image26.tiff"/><Relationship Id="rId42" Type="http://schemas.openxmlformats.org/officeDocument/2006/relationships/image" Target="media/image25.tiff"/><Relationship Id="rId41" Type="http://schemas.openxmlformats.org/officeDocument/2006/relationships/image" Target="media/image24.tiff"/><Relationship Id="rId40" Type="http://schemas.openxmlformats.org/officeDocument/2006/relationships/image" Target="media/image23.tiff"/><Relationship Id="rId4" Type="http://schemas.openxmlformats.org/officeDocument/2006/relationships/endnotes" Target="endnotes.xml"/><Relationship Id="rId39" Type="http://schemas.openxmlformats.org/officeDocument/2006/relationships/image" Target="media/image22.tiff"/><Relationship Id="rId38" Type="http://schemas.openxmlformats.org/officeDocument/2006/relationships/image" Target="media/image21.tiff"/><Relationship Id="rId37" Type="http://schemas.openxmlformats.org/officeDocument/2006/relationships/image" Target="media/image20.tiff"/><Relationship Id="rId36" Type="http://schemas.openxmlformats.org/officeDocument/2006/relationships/image" Target="media/image19.tiff"/><Relationship Id="rId35" Type="http://schemas.openxmlformats.org/officeDocument/2006/relationships/image" Target="media/image18.tiff"/><Relationship Id="rId34" Type="http://schemas.openxmlformats.org/officeDocument/2006/relationships/image" Target="media/image17.tiff"/><Relationship Id="rId33" Type="http://schemas.openxmlformats.org/officeDocument/2006/relationships/image" Target="media/image16.tiff"/><Relationship Id="rId32" Type="http://schemas.openxmlformats.org/officeDocument/2006/relationships/image" Target="media/image15.tiff"/><Relationship Id="rId31" Type="http://schemas.openxmlformats.org/officeDocument/2006/relationships/image" Target="media/image14.emf"/><Relationship Id="rId30" Type="http://schemas.openxmlformats.org/officeDocument/2006/relationships/image" Target="media/image13.tiff"/><Relationship Id="rId3" Type="http://schemas.openxmlformats.org/officeDocument/2006/relationships/footnotes" Target="footnotes.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9.bin"/><Relationship Id="rId26" Type="http://schemas.openxmlformats.org/officeDocument/2006/relationships/image" Target="media/image10.wmf"/><Relationship Id="rId25" Type="http://schemas.openxmlformats.org/officeDocument/2006/relationships/oleObject" Target="embeddings/oleObject8.bin"/><Relationship Id="rId24" Type="http://schemas.openxmlformats.org/officeDocument/2006/relationships/image" Target="media/image9.wmf"/><Relationship Id="rId23" Type="http://schemas.openxmlformats.org/officeDocument/2006/relationships/oleObject" Target="embeddings/oleObject7.bin"/><Relationship Id="rId22" Type="http://schemas.openxmlformats.org/officeDocument/2006/relationships/image" Target="media/image8.wmf"/><Relationship Id="rId21" Type="http://schemas.openxmlformats.org/officeDocument/2006/relationships/oleObject" Target="embeddings/oleObject6.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6.wmf"/><Relationship Id="rId17" Type="http://schemas.openxmlformats.org/officeDocument/2006/relationships/oleObject" Target="embeddings/oleObject4.bin"/><Relationship Id="rId16" Type="http://schemas.openxmlformats.org/officeDocument/2006/relationships/image" Target="media/image5.wmf"/><Relationship Id="rId15" Type="http://schemas.openxmlformats.org/officeDocument/2006/relationships/oleObject" Target="embeddings/oleObject3.bin"/><Relationship Id="rId14" Type="http://schemas.openxmlformats.org/officeDocument/2006/relationships/image" Target="media/image4.wmf"/><Relationship Id="rId13" Type="http://schemas.openxmlformats.org/officeDocument/2006/relationships/oleObject" Target="embeddings/oleObject2.bin"/><Relationship Id="rId12" Type="http://schemas.openxmlformats.org/officeDocument/2006/relationships/image" Target="media/image3.wmf"/><Relationship Id="rId11" Type="http://schemas.openxmlformats.org/officeDocument/2006/relationships/oleObject" Target="embeddings/oleObject1.bin"/><Relationship Id="rId10" Type="http://schemas.openxmlformats.org/officeDocument/2006/relationships/image" Target="media/image2.tif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35</Pages>
  <Words>14700</Words>
  <Characters>83791</Characters>
  <Lines>698</Lines>
  <Paragraphs>196</Paragraphs>
  <TotalTime>3</TotalTime>
  <ScaleCrop>false</ScaleCrop>
  <LinksUpToDate>false</LinksUpToDate>
  <CharactersWithSpaces>98295</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2026-08-25T13:51:00Z</dcterms:created>
  <dc:creator>ZYW</dc:creator>
  <cp:lastModifiedBy>kylin</cp:lastModifiedBy>
  <dcterms:modified xsi:type="dcterms:W3CDTF">2026-09-01T07:49:12Z</dcterms:modified>
  <dc:title>Type of the Paper (Article</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6a2c5d00ae62717240e11dea5d6c642c7b3248da1ca568d017c1d706ee28a7f1</vt:lpwstr>
  </property>
  <property fmtid="{D5CDD505-2E9C-101B-9397-08002B2CF9AE}" pid="3" name="KSOProductBuildVer">
    <vt:lpwstr>2052-12.1.2.22550</vt:lpwstr>
  </property>
  <property fmtid="{D5CDD505-2E9C-101B-9397-08002B2CF9AE}" pid="4" name="ICV">
    <vt:lpwstr>A663AAB9D10908137ACA876AACB7A168_43</vt:lpwstr>
  </property>
</Properties>
</file>